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1F2A" w14:textId="77777777" w:rsidR="0014483B" w:rsidRDefault="00312470">
      <w:pPr>
        <w:spacing w:line="588" w:lineRule="exact"/>
        <w:rPr>
          <w:rFonts w:ascii="黑体" w:eastAsia="黑体" w:hAnsi="黑体" w:cs="黑体"/>
          <w:sz w:val="32"/>
          <w:szCs w:val="32"/>
        </w:rPr>
      </w:pPr>
      <w:r>
        <w:rPr>
          <w:rFonts w:ascii="黑体" w:eastAsia="黑体" w:hAnsi="黑体" w:cs="黑体" w:hint="eastAsia"/>
          <w:sz w:val="32"/>
          <w:szCs w:val="32"/>
        </w:rPr>
        <w:t>附件</w:t>
      </w:r>
    </w:p>
    <w:p w14:paraId="5936767B" w14:textId="77777777" w:rsidR="0014483B" w:rsidRDefault="0014483B">
      <w:pPr>
        <w:pStyle w:val="a2"/>
        <w:framePr w:w="0" w:hRule="auto" w:wrap="auto" w:vAnchor="margin" w:hAnchor="text" w:xAlign="left" w:yAlign="inline"/>
        <w:rPr>
          <w:rFonts w:ascii="Times New Roman"/>
        </w:rPr>
      </w:pPr>
    </w:p>
    <w:p w14:paraId="196C3FED" w14:textId="77777777" w:rsidR="0014483B" w:rsidRDefault="0014483B">
      <w:pPr>
        <w:pStyle w:val="a2"/>
        <w:framePr w:w="0" w:hRule="auto" w:wrap="auto" w:vAnchor="margin" w:hAnchor="text" w:xAlign="left" w:yAlign="inline"/>
        <w:rPr>
          <w:rFonts w:ascii="Times New Roman"/>
        </w:rPr>
      </w:pPr>
    </w:p>
    <w:p w14:paraId="68DD2882" w14:textId="77777777" w:rsidR="0014483B" w:rsidRDefault="0014483B">
      <w:pPr>
        <w:pStyle w:val="a2"/>
        <w:framePr w:w="0" w:hRule="auto" w:wrap="auto" w:vAnchor="margin" w:hAnchor="text" w:xAlign="left" w:yAlign="inline"/>
        <w:rPr>
          <w:rFonts w:ascii="Times New Roman"/>
        </w:rPr>
      </w:pPr>
    </w:p>
    <w:p w14:paraId="0767F306" w14:textId="77777777" w:rsidR="0014483B" w:rsidRDefault="0014483B">
      <w:pPr>
        <w:pStyle w:val="a2"/>
        <w:framePr w:w="0" w:hRule="auto" w:wrap="auto" w:vAnchor="margin" w:hAnchor="text" w:xAlign="left" w:yAlign="inline"/>
        <w:rPr>
          <w:rFonts w:ascii="Times New Roman"/>
        </w:rPr>
      </w:pPr>
    </w:p>
    <w:p w14:paraId="39E2E0F5" w14:textId="77777777" w:rsidR="0014483B" w:rsidRDefault="00312470">
      <w:pPr>
        <w:pStyle w:val="a2"/>
        <w:framePr w:w="0" w:hRule="auto" w:wrap="auto" w:vAnchor="margin" w:hAnchor="text" w:xAlign="left" w:yAlign="inline"/>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企业ESG评价指南（试行版）</w:t>
      </w:r>
    </w:p>
    <w:p w14:paraId="4FDCDE2F" w14:textId="77777777" w:rsidR="0014483B" w:rsidRDefault="0014483B">
      <w:pPr>
        <w:pStyle w:val="a2"/>
        <w:framePr w:w="0" w:hRule="auto" w:wrap="auto" w:vAnchor="margin" w:hAnchor="text" w:xAlign="left" w:yAlign="inline"/>
        <w:rPr>
          <w:rFonts w:ascii="Times New Roman"/>
        </w:rPr>
      </w:pPr>
    </w:p>
    <w:p w14:paraId="6744A057" w14:textId="77777777" w:rsidR="0014483B" w:rsidRDefault="0014483B">
      <w:pPr>
        <w:pStyle w:val="a2"/>
        <w:framePr w:w="0" w:hRule="auto" w:wrap="auto" w:vAnchor="margin" w:hAnchor="text" w:xAlign="left" w:yAlign="inline"/>
        <w:rPr>
          <w:rFonts w:ascii="Times New Roman"/>
        </w:rPr>
      </w:pPr>
    </w:p>
    <w:p w14:paraId="4EC81FB1" w14:textId="77777777" w:rsidR="0014483B" w:rsidRDefault="0014483B">
      <w:pPr>
        <w:pStyle w:val="a2"/>
        <w:framePr w:w="0" w:hRule="auto" w:wrap="auto" w:vAnchor="margin" w:hAnchor="text" w:xAlign="left" w:yAlign="inline"/>
        <w:rPr>
          <w:rFonts w:ascii="Times New Roman"/>
        </w:rPr>
      </w:pPr>
    </w:p>
    <w:p w14:paraId="6E74AD54" w14:textId="77777777" w:rsidR="0014483B" w:rsidRDefault="0014483B">
      <w:pPr>
        <w:pStyle w:val="a2"/>
        <w:framePr w:w="0" w:hRule="auto" w:wrap="auto" w:vAnchor="margin" w:hAnchor="text" w:xAlign="left" w:yAlign="inline"/>
        <w:rPr>
          <w:rFonts w:ascii="Times New Roman"/>
        </w:rPr>
      </w:pPr>
    </w:p>
    <w:p w14:paraId="0D2A5C2A" w14:textId="77777777" w:rsidR="0014483B" w:rsidRDefault="0014483B">
      <w:pPr>
        <w:pStyle w:val="a2"/>
        <w:framePr w:w="0" w:hRule="auto" w:wrap="auto" w:vAnchor="margin" w:hAnchor="text" w:xAlign="left" w:yAlign="inline"/>
        <w:rPr>
          <w:rFonts w:ascii="Times New Roman"/>
        </w:rPr>
      </w:pPr>
    </w:p>
    <w:p w14:paraId="2D1E796C" w14:textId="77777777" w:rsidR="0014483B" w:rsidRDefault="0014483B">
      <w:pPr>
        <w:pStyle w:val="a2"/>
        <w:framePr w:w="0" w:hRule="auto" w:wrap="auto" w:vAnchor="margin" w:hAnchor="text" w:xAlign="left" w:yAlign="inline"/>
        <w:rPr>
          <w:rFonts w:ascii="Times New Roman"/>
        </w:rPr>
      </w:pPr>
    </w:p>
    <w:p w14:paraId="0524E6A0" w14:textId="77777777" w:rsidR="0014483B" w:rsidRDefault="0014483B">
      <w:pPr>
        <w:pStyle w:val="a2"/>
        <w:framePr w:w="0" w:hRule="auto" w:wrap="auto" w:vAnchor="margin" w:hAnchor="text" w:xAlign="left" w:yAlign="inline"/>
        <w:rPr>
          <w:rFonts w:ascii="Times New Roman"/>
        </w:rPr>
      </w:pPr>
    </w:p>
    <w:p w14:paraId="73B0390D" w14:textId="77777777" w:rsidR="0014483B" w:rsidRDefault="00312470">
      <w:pPr>
        <w:pStyle w:val="a2"/>
        <w:framePr w:w="0" w:hRule="auto" w:wrap="auto" w:vAnchor="margin" w:hAnchor="text" w:xAlign="left" w:yAlign="inline"/>
        <w:rPr>
          <w:rFonts w:ascii="华文中宋" w:eastAsia="华文中宋" w:hAnsi="华文中宋"/>
          <w:sz w:val="32"/>
          <w:szCs w:val="11"/>
        </w:rPr>
      </w:pPr>
      <w:r>
        <w:rPr>
          <w:rFonts w:ascii="华文中宋" w:eastAsia="华文中宋" w:hAnsi="华文中宋" w:hint="eastAsia"/>
          <w:sz w:val="32"/>
          <w:szCs w:val="11"/>
        </w:rPr>
        <w:t>2</w:t>
      </w:r>
      <w:r>
        <w:rPr>
          <w:rFonts w:ascii="华文中宋" w:eastAsia="华文中宋" w:hAnsi="华文中宋"/>
          <w:sz w:val="32"/>
          <w:szCs w:val="11"/>
        </w:rPr>
        <w:t>021</w:t>
      </w:r>
      <w:r>
        <w:rPr>
          <w:rFonts w:ascii="华文中宋" w:eastAsia="华文中宋" w:hAnsi="华文中宋" w:hint="eastAsia"/>
          <w:sz w:val="32"/>
          <w:szCs w:val="11"/>
        </w:rPr>
        <w:t>年1</w:t>
      </w:r>
      <w:r>
        <w:rPr>
          <w:rFonts w:ascii="华文中宋" w:eastAsia="华文中宋" w:hAnsi="华文中宋"/>
          <w:sz w:val="32"/>
          <w:szCs w:val="11"/>
        </w:rPr>
        <w:t>2</w:t>
      </w:r>
      <w:r>
        <w:rPr>
          <w:rFonts w:ascii="华文中宋" w:eastAsia="华文中宋" w:hAnsi="华文中宋" w:hint="eastAsia"/>
          <w:sz w:val="32"/>
          <w:szCs w:val="11"/>
        </w:rPr>
        <w:t>月</w:t>
      </w:r>
    </w:p>
    <w:p w14:paraId="4A899904" w14:textId="77777777" w:rsidR="0014483B" w:rsidRDefault="0014483B">
      <w:pPr>
        <w:pStyle w:val="a2"/>
        <w:framePr w:w="0" w:hRule="auto" w:wrap="auto" w:vAnchor="margin" w:hAnchor="text" w:xAlign="left" w:yAlign="inline"/>
        <w:rPr>
          <w:rFonts w:ascii="Times New Roman"/>
        </w:rPr>
      </w:pPr>
    </w:p>
    <w:p w14:paraId="1BBFFA82" w14:textId="77777777" w:rsidR="0014483B" w:rsidRDefault="00312470">
      <w:pPr>
        <w:widowControl/>
        <w:jc w:val="left"/>
        <w:rPr>
          <w:rFonts w:ascii="Times New Roman" w:eastAsia="黑体" w:hAnsi="Times New Roman" w:cs="Times New Roman"/>
          <w:kern w:val="0"/>
          <w:sz w:val="52"/>
          <w:szCs w:val="20"/>
        </w:rPr>
      </w:pPr>
      <w:r>
        <w:rPr>
          <w:rFonts w:ascii="Times New Roman" w:eastAsia="黑体" w:hAnsi="Times New Roman" w:cs="Times New Roman"/>
          <w:kern w:val="0"/>
          <w:sz w:val="52"/>
          <w:szCs w:val="20"/>
        </w:rPr>
        <w:br w:type="page"/>
      </w:r>
    </w:p>
    <w:sdt>
      <w:sdtPr>
        <w:rPr>
          <w:rFonts w:asciiTheme="minorHAnsi" w:eastAsiaTheme="minorEastAsia" w:hAnsiTheme="minorHAnsi" w:cstheme="minorBidi"/>
          <w:color w:val="auto"/>
          <w:kern w:val="2"/>
          <w:sz w:val="21"/>
          <w:szCs w:val="22"/>
          <w:lang w:val="zh-CN"/>
        </w:rPr>
        <w:id w:val="-1787578657"/>
        <w:docPartObj>
          <w:docPartGallery w:val="Table of Contents"/>
          <w:docPartUnique/>
        </w:docPartObj>
      </w:sdtPr>
      <w:sdtEndPr>
        <w:rPr>
          <w:rFonts w:ascii="仿宋" w:eastAsia="仿宋" w:hAnsi="仿宋"/>
          <w:b/>
          <w:bCs/>
          <w:sz w:val="30"/>
          <w:szCs w:val="30"/>
        </w:rPr>
      </w:sdtEndPr>
      <w:sdtContent>
        <w:p w14:paraId="2EFA0EB7" w14:textId="77777777" w:rsidR="0014483B" w:rsidRDefault="00312470">
          <w:pPr>
            <w:pStyle w:val="TOC10"/>
            <w:jc w:val="center"/>
            <w:rPr>
              <w:rFonts w:ascii="黑体" w:eastAsia="黑体" w:hAnsi="黑体"/>
              <w:color w:val="auto"/>
              <w:sz w:val="44"/>
              <w:szCs w:val="44"/>
            </w:rPr>
          </w:pPr>
          <w:r>
            <w:rPr>
              <w:rFonts w:ascii="黑体" w:eastAsia="黑体" w:hAnsi="黑体"/>
              <w:color w:val="auto"/>
              <w:sz w:val="44"/>
              <w:szCs w:val="44"/>
              <w:lang w:val="zh-CN"/>
            </w:rPr>
            <w:t>目</w:t>
          </w:r>
          <w:r>
            <w:rPr>
              <w:rFonts w:ascii="黑体" w:eastAsia="黑体" w:hAnsi="黑体" w:hint="eastAsia"/>
              <w:color w:val="auto"/>
              <w:sz w:val="44"/>
              <w:szCs w:val="44"/>
              <w:lang w:val="zh-CN"/>
            </w:rPr>
            <w:t xml:space="preserve"> </w:t>
          </w:r>
          <w:r>
            <w:rPr>
              <w:rFonts w:ascii="黑体" w:eastAsia="黑体" w:hAnsi="黑体"/>
              <w:color w:val="auto"/>
              <w:sz w:val="44"/>
              <w:szCs w:val="44"/>
              <w:lang w:val="zh-CN"/>
            </w:rPr>
            <w:t xml:space="preserve"> 录</w:t>
          </w:r>
        </w:p>
        <w:p w14:paraId="4A1352E1" w14:textId="77777777" w:rsidR="0014483B" w:rsidRDefault="00312470">
          <w:pPr>
            <w:pStyle w:val="TOC1"/>
            <w:tabs>
              <w:tab w:val="left" w:pos="840"/>
              <w:tab w:val="right" w:leader="dot" w:pos="8296"/>
            </w:tabs>
            <w:rPr>
              <w:rFonts w:ascii="黑体" w:eastAsia="黑体" w:hAnsi="黑体" w:cs="黑体"/>
              <w:sz w:val="30"/>
              <w:szCs w:val="30"/>
            </w:rPr>
          </w:pPr>
          <w:r>
            <w:rPr>
              <w:rFonts w:ascii="黑体" w:eastAsia="黑体" w:hAnsi="黑体" w:cs="黑体" w:hint="eastAsia"/>
              <w:sz w:val="32"/>
              <w:szCs w:val="32"/>
            </w:rPr>
            <w:fldChar w:fldCharType="begin"/>
          </w:r>
          <w:r>
            <w:rPr>
              <w:rFonts w:ascii="黑体" w:eastAsia="黑体" w:hAnsi="黑体" w:cs="黑体" w:hint="eastAsia"/>
              <w:sz w:val="32"/>
              <w:szCs w:val="32"/>
            </w:rPr>
            <w:instrText xml:space="preserve"> TOC \o "1-3" \h \z \u </w:instrText>
          </w:r>
          <w:r>
            <w:rPr>
              <w:rFonts w:ascii="黑体" w:eastAsia="黑体" w:hAnsi="黑体" w:cs="黑体" w:hint="eastAsia"/>
              <w:sz w:val="32"/>
              <w:szCs w:val="32"/>
            </w:rPr>
            <w:fldChar w:fldCharType="separate"/>
          </w:r>
          <w:hyperlink w:anchor="_Toc89351202" w:history="1">
            <w:r>
              <w:rPr>
                <w:rStyle w:val="af1"/>
                <w:rFonts w:ascii="黑体" w:eastAsia="黑体" w:hAnsi="黑体" w:cs="黑体" w:hint="eastAsia"/>
                <w:sz w:val="30"/>
                <w:szCs w:val="30"/>
              </w:rPr>
              <w:t>一、</w:t>
            </w:r>
            <w:r>
              <w:rPr>
                <w:rFonts w:ascii="黑体" w:eastAsia="黑体" w:hAnsi="黑体" w:cs="黑体" w:hint="eastAsia"/>
                <w:sz w:val="30"/>
                <w:szCs w:val="30"/>
              </w:rPr>
              <w:tab/>
            </w:r>
            <w:r>
              <w:rPr>
                <w:rStyle w:val="af1"/>
                <w:rFonts w:ascii="黑体" w:eastAsia="黑体" w:hAnsi="黑体" w:cs="黑体" w:hint="eastAsia"/>
                <w:sz w:val="30"/>
                <w:szCs w:val="30"/>
              </w:rPr>
              <w:t>前言</w:t>
            </w:r>
            <w:r>
              <w:rPr>
                <w:rFonts w:ascii="黑体" w:eastAsia="黑体" w:hAnsi="黑体" w:cs="黑体" w:hint="eastAsia"/>
                <w:sz w:val="30"/>
                <w:szCs w:val="30"/>
              </w:rPr>
              <w:tab/>
            </w:r>
            <w:r>
              <w:rPr>
                <w:rFonts w:ascii="黑体" w:eastAsia="黑体" w:hAnsi="黑体" w:cs="黑体" w:hint="eastAsia"/>
                <w:sz w:val="30"/>
                <w:szCs w:val="30"/>
              </w:rPr>
              <w:fldChar w:fldCharType="begin"/>
            </w:r>
            <w:r>
              <w:rPr>
                <w:rFonts w:ascii="黑体" w:eastAsia="黑体" w:hAnsi="黑体" w:cs="黑体" w:hint="eastAsia"/>
                <w:sz w:val="30"/>
                <w:szCs w:val="30"/>
              </w:rPr>
              <w:instrText xml:space="preserve"> PAGEREF _Toc89351202 \h </w:instrText>
            </w:r>
            <w:r>
              <w:rPr>
                <w:rFonts w:ascii="黑体" w:eastAsia="黑体" w:hAnsi="黑体" w:cs="黑体" w:hint="eastAsia"/>
                <w:sz w:val="30"/>
                <w:szCs w:val="30"/>
              </w:rPr>
            </w:r>
            <w:r>
              <w:rPr>
                <w:rFonts w:ascii="黑体" w:eastAsia="黑体" w:hAnsi="黑体" w:cs="黑体" w:hint="eastAsia"/>
                <w:sz w:val="30"/>
                <w:szCs w:val="30"/>
              </w:rPr>
              <w:fldChar w:fldCharType="separate"/>
            </w:r>
            <w:r>
              <w:rPr>
                <w:rFonts w:ascii="黑体" w:eastAsia="黑体" w:hAnsi="黑体" w:cs="黑体" w:hint="eastAsia"/>
                <w:sz w:val="30"/>
                <w:szCs w:val="30"/>
              </w:rPr>
              <w:t>1</w:t>
            </w:r>
            <w:r>
              <w:rPr>
                <w:rFonts w:ascii="黑体" w:eastAsia="黑体" w:hAnsi="黑体" w:cs="黑体" w:hint="eastAsia"/>
                <w:sz w:val="30"/>
                <w:szCs w:val="30"/>
              </w:rPr>
              <w:fldChar w:fldCharType="end"/>
            </w:r>
          </w:hyperlink>
        </w:p>
        <w:p w14:paraId="625F57C1" w14:textId="77777777" w:rsidR="0014483B" w:rsidRDefault="00E43CF3">
          <w:pPr>
            <w:pStyle w:val="TOC1"/>
            <w:tabs>
              <w:tab w:val="left" w:pos="840"/>
              <w:tab w:val="right" w:leader="dot" w:pos="8296"/>
            </w:tabs>
            <w:rPr>
              <w:rFonts w:ascii="黑体" w:eastAsia="黑体" w:hAnsi="黑体" w:cs="黑体"/>
              <w:sz w:val="30"/>
              <w:szCs w:val="30"/>
            </w:rPr>
          </w:pPr>
          <w:hyperlink w:anchor="_Toc89351203" w:history="1">
            <w:r w:rsidR="00312470">
              <w:rPr>
                <w:rStyle w:val="af1"/>
                <w:rFonts w:ascii="黑体" w:eastAsia="黑体" w:hAnsi="黑体" w:cs="黑体" w:hint="eastAsia"/>
                <w:sz w:val="30"/>
                <w:szCs w:val="30"/>
              </w:rPr>
              <w:t>二、</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范围</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_Toc89351203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2</w:t>
            </w:r>
            <w:r w:rsidR="00312470">
              <w:rPr>
                <w:rFonts w:ascii="黑体" w:eastAsia="黑体" w:hAnsi="黑体" w:cs="黑体" w:hint="eastAsia"/>
                <w:sz w:val="30"/>
                <w:szCs w:val="30"/>
              </w:rPr>
              <w:fldChar w:fldCharType="end"/>
            </w:r>
          </w:hyperlink>
        </w:p>
        <w:p w14:paraId="7EB67508" w14:textId="77777777" w:rsidR="0014483B" w:rsidRDefault="00E43CF3">
          <w:pPr>
            <w:pStyle w:val="TOC1"/>
            <w:tabs>
              <w:tab w:val="left" w:pos="840"/>
              <w:tab w:val="right" w:leader="dot" w:pos="8296"/>
            </w:tabs>
            <w:rPr>
              <w:rFonts w:ascii="黑体" w:eastAsia="黑体" w:hAnsi="黑体" w:cs="黑体"/>
              <w:sz w:val="30"/>
              <w:szCs w:val="30"/>
            </w:rPr>
          </w:pPr>
          <w:hyperlink w:anchor="_Toc89351204" w:history="1">
            <w:r w:rsidR="00312470">
              <w:rPr>
                <w:rStyle w:val="af1"/>
                <w:rFonts w:ascii="黑体" w:eastAsia="黑体" w:hAnsi="黑体" w:cs="黑体" w:hint="eastAsia"/>
                <w:sz w:val="30"/>
                <w:szCs w:val="30"/>
              </w:rPr>
              <w:t>三、</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规范性引用文件</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_Toc89351204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2</w:t>
            </w:r>
            <w:r w:rsidR="00312470">
              <w:rPr>
                <w:rFonts w:ascii="黑体" w:eastAsia="黑体" w:hAnsi="黑体" w:cs="黑体" w:hint="eastAsia"/>
                <w:sz w:val="30"/>
                <w:szCs w:val="30"/>
              </w:rPr>
              <w:fldChar w:fldCharType="end"/>
            </w:r>
          </w:hyperlink>
        </w:p>
        <w:p w14:paraId="38B49FA7" w14:textId="77777777" w:rsidR="0014483B" w:rsidRDefault="00E43CF3">
          <w:pPr>
            <w:pStyle w:val="TOC1"/>
            <w:tabs>
              <w:tab w:val="left" w:pos="840"/>
              <w:tab w:val="right" w:leader="dot" w:pos="8296"/>
            </w:tabs>
            <w:rPr>
              <w:rFonts w:ascii="黑体" w:eastAsia="黑体" w:hAnsi="黑体" w:cs="黑体"/>
              <w:sz w:val="30"/>
              <w:szCs w:val="30"/>
            </w:rPr>
          </w:pPr>
          <w:hyperlink w:anchor="_Toc89351205" w:history="1">
            <w:r w:rsidR="00312470">
              <w:rPr>
                <w:rStyle w:val="af1"/>
                <w:rFonts w:ascii="黑体" w:eastAsia="黑体" w:hAnsi="黑体" w:cs="黑体" w:hint="eastAsia"/>
                <w:sz w:val="30"/>
                <w:szCs w:val="30"/>
              </w:rPr>
              <w:t>四、</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企业ESG评价原则</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_Toc89351205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2</w:t>
            </w:r>
            <w:r w:rsidR="00312470">
              <w:rPr>
                <w:rFonts w:ascii="黑体" w:eastAsia="黑体" w:hAnsi="黑体" w:cs="黑体" w:hint="eastAsia"/>
                <w:sz w:val="30"/>
                <w:szCs w:val="30"/>
              </w:rPr>
              <w:fldChar w:fldCharType="end"/>
            </w:r>
          </w:hyperlink>
        </w:p>
        <w:p w14:paraId="045DAB4E" w14:textId="77777777" w:rsidR="0014483B" w:rsidRDefault="00E43CF3">
          <w:pPr>
            <w:pStyle w:val="TOC2"/>
            <w:tabs>
              <w:tab w:val="left" w:pos="1470"/>
              <w:tab w:val="right" w:leader="dot" w:pos="8296"/>
            </w:tabs>
            <w:rPr>
              <w:rFonts w:ascii="黑体" w:eastAsia="黑体" w:hAnsi="黑体" w:cs="黑体"/>
              <w:sz w:val="30"/>
              <w:szCs w:val="30"/>
            </w:rPr>
          </w:pPr>
          <w:hyperlink w:anchor="_Toc89351206" w:history="1">
            <w:r w:rsidR="00312470">
              <w:rPr>
                <w:rStyle w:val="af1"/>
                <w:rFonts w:ascii="黑体" w:eastAsia="黑体" w:hAnsi="黑体" w:cs="黑体" w:hint="eastAsia"/>
                <w:sz w:val="30"/>
                <w:szCs w:val="30"/>
              </w:rPr>
              <w:t>（一）</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科学性原则</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_Toc89351206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2</w:t>
            </w:r>
            <w:r w:rsidR="00312470">
              <w:rPr>
                <w:rFonts w:ascii="黑体" w:eastAsia="黑体" w:hAnsi="黑体" w:cs="黑体" w:hint="eastAsia"/>
                <w:sz w:val="30"/>
                <w:szCs w:val="30"/>
              </w:rPr>
              <w:fldChar w:fldCharType="end"/>
            </w:r>
          </w:hyperlink>
        </w:p>
        <w:p w14:paraId="18817674" w14:textId="77777777" w:rsidR="0014483B" w:rsidRDefault="00E43CF3">
          <w:pPr>
            <w:pStyle w:val="TOC2"/>
            <w:tabs>
              <w:tab w:val="left" w:pos="1470"/>
              <w:tab w:val="right" w:leader="dot" w:pos="8296"/>
            </w:tabs>
            <w:rPr>
              <w:rFonts w:ascii="黑体" w:eastAsia="黑体" w:hAnsi="黑体" w:cs="黑体"/>
              <w:sz w:val="30"/>
              <w:szCs w:val="30"/>
            </w:rPr>
          </w:pPr>
          <w:hyperlink w:anchor="_Toc89351207" w:history="1">
            <w:r w:rsidR="00312470">
              <w:rPr>
                <w:rStyle w:val="af1"/>
                <w:rFonts w:ascii="黑体" w:eastAsia="黑体" w:hAnsi="黑体" w:cs="黑体" w:hint="eastAsia"/>
                <w:sz w:val="30"/>
                <w:szCs w:val="30"/>
              </w:rPr>
              <w:t>（二）</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系统性原则</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_Toc89351207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2</w:t>
            </w:r>
            <w:r w:rsidR="00312470">
              <w:rPr>
                <w:rFonts w:ascii="黑体" w:eastAsia="黑体" w:hAnsi="黑体" w:cs="黑体" w:hint="eastAsia"/>
                <w:sz w:val="30"/>
                <w:szCs w:val="30"/>
              </w:rPr>
              <w:fldChar w:fldCharType="end"/>
            </w:r>
          </w:hyperlink>
        </w:p>
        <w:p w14:paraId="39A9EC93" w14:textId="77777777" w:rsidR="0014483B" w:rsidRDefault="00E43CF3">
          <w:pPr>
            <w:pStyle w:val="TOC2"/>
            <w:tabs>
              <w:tab w:val="left" w:pos="1470"/>
              <w:tab w:val="right" w:leader="dot" w:pos="8296"/>
            </w:tabs>
            <w:rPr>
              <w:rFonts w:ascii="黑体" w:eastAsia="黑体" w:hAnsi="黑体" w:cs="黑体"/>
              <w:sz w:val="30"/>
              <w:szCs w:val="30"/>
            </w:rPr>
          </w:pPr>
          <w:hyperlink w:anchor="_Toc89351208" w:history="1">
            <w:r w:rsidR="00312470">
              <w:rPr>
                <w:rStyle w:val="af1"/>
                <w:rFonts w:ascii="黑体" w:eastAsia="黑体" w:hAnsi="黑体" w:cs="黑体" w:hint="eastAsia"/>
                <w:sz w:val="30"/>
                <w:szCs w:val="30"/>
              </w:rPr>
              <w:t>（三）</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完整性原则</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_Toc89351208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3</w:t>
            </w:r>
            <w:r w:rsidR="00312470">
              <w:rPr>
                <w:rFonts w:ascii="黑体" w:eastAsia="黑体" w:hAnsi="黑体" w:cs="黑体" w:hint="eastAsia"/>
                <w:sz w:val="30"/>
                <w:szCs w:val="30"/>
              </w:rPr>
              <w:fldChar w:fldCharType="end"/>
            </w:r>
          </w:hyperlink>
        </w:p>
        <w:p w14:paraId="46E5923A" w14:textId="77777777" w:rsidR="0014483B" w:rsidRDefault="00E43CF3">
          <w:pPr>
            <w:pStyle w:val="TOC2"/>
            <w:tabs>
              <w:tab w:val="left" w:pos="1470"/>
              <w:tab w:val="right" w:leader="dot" w:pos="8296"/>
            </w:tabs>
            <w:rPr>
              <w:rFonts w:ascii="黑体" w:eastAsia="黑体" w:hAnsi="黑体" w:cs="黑体"/>
              <w:sz w:val="30"/>
              <w:szCs w:val="30"/>
            </w:rPr>
          </w:pPr>
          <w:hyperlink w:anchor="_Toc89351209" w:history="1">
            <w:r w:rsidR="00312470">
              <w:rPr>
                <w:rStyle w:val="af1"/>
                <w:rFonts w:ascii="黑体" w:eastAsia="黑体" w:hAnsi="黑体" w:cs="黑体" w:hint="eastAsia"/>
                <w:sz w:val="30"/>
                <w:szCs w:val="30"/>
              </w:rPr>
              <w:t>（四）</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实用性原则</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_Toc89351209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3</w:t>
            </w:r>
            <w:r w:rsidR="00312470">
              <w:rPr>
                <w:rFonts w:ascii="黑体" w:eastAsia="黑体" w:hAnsi="黑体" w:cs="黑体" w:hint="eastAsia"/>
                <w:sz w:val="30"/>
                <w:szCs w:val="30"/>
              </w:rPr>
              <w:fldChar w:fldCharType="end"/>
            </w:r>
          </w:hyperlink>
        </w:p>
        <w:p w14:paraId="70279834" w14:textId="77777777" w:rsidR="0014483B" w:rsidRDefault="00E43CF3">
          <w:pPr>
            <w:pStyle w:val="TOC1"/>
            <w:tabs>
              <w:tab w:val="left" w:pos="840"/>
              <w:tab w:val="right" w:leader="dot" w:pos="8296"/>
            </w:tabs>
            <w:rPr>
              <w:rFonts w:ascii="黑体" w:eastAsia="黑体" w:hAnsi="黑体" w:cs="黑体"/>
              <w:sz w:val="30"/>
              <w:szCs w:val="30"/>
            </w:rPr>
          </w:pPr>
          <w:hyperlink w:anchor="_Toc89351210" w:history="1">
            <w:r w:rsidR="00312470">
              <w:rPr>
                <w:rStyle w:val="af1"/>
                <w:rFonts w:ascii="黑体" w:eastAsia="黑体" w:hAnsi="黑体" w:cs="黑体" w:hint="eastAsia"/>
                <w:sz w:val="30"/>
                <w:szCs w:val="30"/>
              </w:rPr>
              <w:t>五、</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企业ESG评价过程</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_Toc89351210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3</w:t>
            </w:r>
            <w:r w:rsidR="00312470">
              <w:rPr>
                <w:rFonts w:ascii="黑体" w:eastAsia="黑体" w:hAnsi="黑体" w:cs="黑体" w:hint="eastAsia"/>
                <w:sz w:val="30"/>
                <w:szCs w:val="30"/>
              </w:rPr>
              <w:fldChar w:fldCharType="end"/>
            </w:r>
          </w:hyperlink>
        </w:p>
        <w:p w14:paraId="3A06FAA0" w14:textId="77777777" w:rsidR="0014483B" w:rsidRDefault="00E43CF3">
          <w:pPr>
            <w:pStyle w:val="TOC2"/>
            <w:tabs>
              <w:tab w:val="left" w:pos="1470"/>
              <w:tab w:val="right" w:leader="dot" w:pos="8296"/>
            </w:tabs>
            <w:rPr>
              <w:rFonts w:ascii="黑体" w:eastAsia="黑体" w:hAnsi="黑体" w:cs="黑体"/>
              <w:sz w:val="30"/>
              <w:szCs w:val="30"/>
            </w:rPr>
          </w:pPr>
          <w:hyperlink w:anchor="_Toc89351211" w:history="1">
            <w:r w:rsidR="00312470">
              <w:rPr>
                <w:rStyle w:val="af1"/>
                <w:rFonts w:ascii="黑体" w:eastAsia="黑体" w:hAnsi="黑体" w:cs="黑体" w:hint="eastAsia"/>
                <w:sz w:val="30"/>
                <w:szCs w:val="30"/>
              </w:rPr>
              <w:t>（一）</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评价依据及数据来源</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_Toc89351211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3</w:t>
            </w:r>
            <w:r w:rsidR="00312470">
              <w:rPr>
                <w:rFonts w:ascii="黑体" w:eastAsia="黑体" w:hAnsi="黑体" w:cs="黑体" w:hint="eastAsia"/>
                <w:sz w:val="30"/>
                <w:szCs w:val="30"/>
              </w:rPr>
              <w:fldChar w:fldCharType="end"/>
            </w:r>
          </w:hyperlink>
        </w:p>
        <w:p w14:paraId="38C9B028" w14:textId="77777777" w:rsidR="0014483B" w:rsidRDefault="00E43CF3">
          <w:pPr>
            <w:pStyle w:val="TOC2"/>
            <w:tabs>
              <w:tab w:val="left" w:pos="1470"/>
              <w:tab w:val="right" w:leader="dot" w:pos="8296"/>
            </w:tabs>
            <w:rPr>
              <w:rFonts w:ascii="黑体" w:eastAsia="黑体" w:hAnsi="黑体" w:cs="黑体"/>
              <w:sz w:val="30"/>
              <w:szCs w:val="30"/>
            </w:rPr>
          </w:pPr>
          <w:hyperlink w:anchor="_Toc89351212" w:history="1">
            <w:r w:rsidR="00312470">
              <w:rPr>
                <w:rStyle w:val="af1"/>
                <w:rFonts w:ascii="黑体" w:eastAsia="黑体" w:hAnsi="黑体" w:cs="黑体" w:hint="eastAsia"/>
                <w:sz w:val="30"/>
                <w:szCs w:val="30"/>
              </w:rPr>
              <w:t>（二）</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评价基本程序</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_Toc89351212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4</w:t>
            </w:r>
            <w:r w:rsidR="00312470">
              <w:rPr>
                <w:rFonts w:ascii="黑体" w:eastAsia="黑体" w:hAnsi="黑体" w:cs="黑体" w:hint="eastAsia"/>
                <w:sz w:val="30"/>
                <w:szCs w:val="30"/>
              </w:rPr>
              <w:fldChar w:fldCharType="end"/>
            </w:r>
          </w:hyperlink>
        </w:p>
        <w:p w14:paraId="2C77B4D1" w14:textId="77777777" w:rsidR="0014483B" w:rsidRDefault="00E43CF3">
          <w:pPr>
            <w:pStyle w:val="TOC2"/>
            <w:tabs>
              <w:tab w:val="left" w:pos="1470"/>
              <w:tab w:val="right" w:leader="dot" w:pos="8296"/>
            </w:tabs>
            <w:rPr>
              <w:rFonts w:ascii="黑体" w:eastAsia="黑体" w:hAnsi="黑体" w:cs="黑体"/>
              <w:sz w:val="30"/>
              <w:szCs w:val="30"/>
            </w:rPr>
          </w:pPr>
          <w:hyperlink w:anchor="_Toc89351213" w:history="1">
            <w:r w:rsidR="00312470">
              <w:rPr>
                <w:rStyle w:val="af1"/>
                <w:rFonts w:ascii="黑体" w:eastAsia="黑体" w:hAnsi="黑体" w:cs="黑体" w:hint="eastAsia"/>
                <w:sz w:val="30"/>
                <w:szCs w:val="30"/>
              </w:rPr>
              <w:t>（三）</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评价方法</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_Toc89351213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5</w:t>
            </w:r>
            <w:r w:rsidR="00312470">
              <w:rPr>
                <w:rFonts w:ascii="黑体" w:eastAsia="黑体" w:hAnsi="黑体" w:cs="黑体" w:hint="eastAsia"/>
                <w:sz w:val="30"/>
                <w:szCs w:val="30"/>
              </w:rPr>
              <w:fldChar w:fldCharType="end"/>
            </w:r>
          </w:hyperlink>
        </w:p>
        <w:p w14:paraId="076077F1" w14:textId="77777777" w:rsidR="0014483B" w:rsidRDefault="00E43CF3">
          <w:pPr>
            <w:pStyle w:val="TOC2"/>
            <w:tabs>
              <w:tab w:val="left" w:pos="1470"/>
              <w:tab w:val="right" w:leader="dot" w:pos="8296"/>
            </w:tabs>
            <w:rPr>
              <w:rFonts w:ascii="黑体" w:eastAsia="黑体" w:hAnsi="黑体" w:cs="黑体"/>
              <w:sz w:val="30"/>
              <w:szCs w:val="30"/>
            </w:rPr>
          </w:pPr>
          <w:hyperlink w:anchor="_Toc89351214" w:history="1">
            <w:r w:rsidR="00312470">
              <w:rPr>
                <w:rStyle w:val="af1"/>
                <w:rFonts w:ascii="黑体" w:eastAsia="黑体" w:hAnsi="黑体" w:cs="黑体" w:hint="eastAsia"/>
                <w:sz w:val="30"/>
                <w:szCs w:val="30"/>
              </w:rPr>
              <w:t>（四）</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评价等级</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_Toc89351214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5</w:t>
            </w:r>
            <w:r w:rsidR="00312470">
              <w:rPr>
                <w:rFonts w:ascii="黑体" w:eastAsia="黑体" w:hAnsi="黑体" w:cs="黑体" w:hint="eastAsia"/>
                <w:sz w:val="30"/>
                <w:szCs w:val="30"/>
              </w:rPr>
              <w:fldChar w:fldCharType="end"/>
            </w:r>
          </w:hyperlink>
        </w:p>
        <w:p w14:paraId="1AE60D01" w14:textId="77777777" w:rsidR="0014483B" w:rsidRDefault="00E43CF3">
          <w:pPr>
            <w:pStyle w:val="TOC1"/>
            <w:tabs>
              <w:tab w:val="left" w:pos="840"/>
              <w:tab w:val="right" w:leader="dot" w:pos="8296"/>
            </w:tabs>
            <w:rPr>
              <w:rFonts w:ascii="黑体" w:eastAsia="黑体" w:hAnsi="黑体" w:cs="黑体"/>
              <w:sz w:val="30"/>
              <w:szCs w:val="30"/>
            </w:rPr>
          </w:pPr>
          <w:hyperlink w:anchor="_Toc89351215" w:history="1">
            <w:r w:rsidR="00312470">
              <w:rPr>
                <w:rStyle w:val="af1"/>
                <w:rFonts w:ascii="黑体" w:eastAsia="黑体" w:hAnsi="黑体" w:cs="黑体" w:hint="eastAsia"/>
                <w:sz w:val="30"/>
                <w:szCs w:val="30"/>
              </w:rPr>
              <w:t>六、</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企业ESG评价指标</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_Toc89351215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6</w:t>
            </w:r>
            <w:r w:rsidR="00312470">
              <w:rPr>
                <w:rFonts w:ascii="黑体" w:eastAsia="黑体" w:hAnsi="黑体" w:cs="黑体" w:hint="eastAsia"/>
                <w:sz w:val="30"/>
                <w:szCs w:val="30"/>
              </w:rPr>
              <w:fldChar w:fldCharType="end"/>
            </w:r>
          </w:hyperlink>
        </w:p>
        <w:p w14:paraId="068D988A" w14:textId="77777777" w:rsidR="0014483B" w:rsidRDefault="00E43CF3">
          <w:pPr>
            <w:pStyle w:val="TOC2"/>
            <w:tabs>
              <w:tab w:val="left" w:pos="1470"/>
              <w:tab w:val="right" w:leader="dot" w:pos="8296"/>
            </w:tabs>
            <w:rPr>
              <w:rFonts w:ascii="黑体" w:eastAsia="黑体" w:hAnsi="黑体" w:cs="黑体"/>
              <w:sz w:val="30"/>
              <w:szCs w:val="30"/>
            </w:rPr>
          </w:pPr>
          <w:hyperlink w:anchor="_Toc89351216" w:history="1">
            <w:r w:rsidR="00312470">
              <w:rPr>
                <w:rStyle w:val="af1"/>
                <w:rFonts w:ascii="黑体" w:eastAsia="黑体" w:hAnsi="黑体" w:cs="黑体" w:hint="eastAsia"/>
                <w:sz w:val="30"/>
                <w:szCs w:val="30"/>
              </w:rPr>
              <w:t>（一）</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否决项指标</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_Toc89351216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6</w:t>
            </w:r>
            <w:r w:rsidR="00312470">
              <w:rPr>
                <w:rFonts w:ascii="黑体" w:eastAsia="黑体" w:hAnsi="黑体" w:cs="黑体" w:hint="eastAsia"/>
                <w:sz w:val="30"/>
                <w:szCs w:val="30"/>
              </w:rPr>
              <w:fldChar w:fldCharType="end"/>
            </w:r>
          </w:hyperlink>
        </w:p>
        <w:p w14:paraId="012189F4" w14:textId="77777777" w:rsidR="0014483B" w:rsidRDefault="00E43CF3">
          <w:pPr>
            <w:pStyle w:val="TOC2"/>
            <w:tabs>
              <w:tab w:val="left" w:pos="1470"/>
              <w:tab w:val="right" w:leader="dot" w:pos="8296"/>
            </w:tabs>
            <w:rPr>
              <w:rFonts w:ascii="黑体" w:eastAsia="黑体" w:hAnsi="黑体" w:cs="黑体"/>
              <w:sz w:val="30"/>
              <w:szCs w:val="30"/>
            </w:rPr>
          </w:pPr>
          <w:hyperlink w:anchor="_Toc89351217" w:history="1">
            <w:r w:rsidR="00312470">
              <w:rPr>
                <w:rStyle w:val="af1"/>
                <w:rFonts w:ascii="黑体" w:eastAsia="黑体" w:hAnsi="黑体" w:cs="黑体" w:hint="eastAsia"/>
                <w:sz w:val="30"/>
                <w:szCs w:val="30"/>
              </w:rPr>
              <w:t>（二）</w:t>
            </w:r>
            <w:r w:rsidR="00312470">
              <w:rPr>
                <w:rFonts w:ascii="黑体" w:eastAsia="黑体" w:hAnsi="黑体" w:cs="黑体" w:hint="eastAsia"/>
                <w:sz w:val="30"/>
                <w:szCs w:val="30"/>
              </w:rPr>
              <w:tab/>
            </w:r>
            <w:r w:rsidR="00312470">
              <w:rPr>
                <w:rStyle w:val="af1"/>
                <w:rFonts w:ascii="黑体" w:eastAsia="黑体" w:hAnsi="黑体" w:cs="黑体" w:hint="eastAsia"/>
                <w:sz w:val="30"/>
                <w:szCs w:val="30"/>
              </w:rPr>
              <w:t>评价指标体系</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_Toc89351217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7</w:t>
            </w:r>
            <w:r w:rsidR="00312470">
              <w:rPr>
                <w:rFonts w:ascii="黑体" w:eastAsia="黑体" w:hAnsi="黑体" w:cs="黑体" w:hint="eastAsia"/>
                <w:sz w:val="30"/>
                <w:szCs w:val="30"/>
              </w:rPr>
              <w:fldChar w:fldCharType="end"/>
            </w:r>
          </w:hyperlink>
        </w:p>
        <w:p w14:paraId="7EB6025F" w14:textId="77777777" w:rsidR="0014483B" w:rsidRDefault="00E43CF3">
          <w:pPr>
            <w:pStyle w:val="TOC1"/>
            <w:tabs>
              <w:tab w:val="right" w:leader="dot" w:pos="8296"/>
            </w:tabs>
            <w:rPr>
              <w:rFonts w:ascii="黑体" w:eastAsia="黑体" w:hAnsi="黑体" w:cs="黑体"/>
              <w:sz w:val="30"/>
              <w:szCs w:val="30"/>
            </w:rPr>
          </w:pPr>
          <w:hyperlink w:anchor="_Toc89351218" w:history="1">
            <w:r w:rsidR="00312470">
              <w:rPr>
                <w:rStyle w:val="af1"/>
                <w:rFonts w:ascii="黑体" w:eastAsia="黑体" w:hAnsi="黑体" w:cs="黑体" w:hint="eastAsia"/>
                <w:sz w:val="30"/>
                <w:szCs w:val="30"/>
              </w:rPr>
              <w:t>附表：</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_Toc89351218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12</w:t>
            </w:r>
            <w:r w:rsidR="00312470">
              <w:rPr>
                <w:rFonts w:ascii="黑体" w:eastAsia="黑体" w:hAnsi="黑体" w:cs="黑体" w:hint="eastAsia"/>
                <w:sz w:val="30"/>
                <w:szCs w:val="30"/>
              </w:rPr>
              <w:fldChar w:fldCharType="end"/>
            </w:r>
          </w:hyperlink>
        </w:p>
        <w:p w14:paraId="2785E136" w14:textId="77777777" w:rsidR="0014483B" w:rsidRDefault="00E43CF3">
          <w:pPr>
            <w:pStyle w:val="TOC1"/>
            <w:tabs>
              <w:tab w:val="right" w:leader="dot" w:pos="8296"/>
            </w:tabs>
            <w:rPr>
              <w:rFonts w:ascii="黑体" w:eastAsia="黑体" w:hAnsi="黑体" w:cs="黑体"/>
              <w:sz w:val="32"/>
              <w:szCs w:val="32"/>
            </w:rPr>
          </w:pPr>
          <w:hyperlink w:anchor="_Toc89351219" w:history="1">
            <w:r w:rsidR="00312470">
              <w:rPr>
                <w:rStyle w:val="af1"/>
                <w:rFonts w:ascii="黑体" w:eastAsia="黑体" w:hAnsi="黑体" w:cs="黑体" w:hint="eastAsia"/>
                <w:sz w:val="30"/>
                <w:szCs w:val="30"/>
              </w:rPr>
              <w:t>参考文献</w:t>
            </w:r>
            <w:r w:rsidR="00312470">
              <w:rPr>
                <w:rFonts w:ascii="黑体" w:eastAsia="黑体" w:hAnsi="黑体" w:cs="黑体" w:hint="eastAsia"/>
                <w:sz w:val="30"/>
                <w:szCs w:val="30"/>
              </w:rPr>
              <w:tab/>
            </w:r>
            <w:r w:rsidR="00312470">
              <w:rPr>
                <w:rFonts w:ascii="黑体" w:eastAsia="黑体" w:hAnsi="黑体" w:cs="黑体" w:hint="eastAsia"/>
                <w:sz w:val="30"/>
                <w:szCs w:val="30"/>
              </w:rPr>
              <w:fldChar w:fldCharType="begin"/>
            </w:r>
            <w:r w:rsidR="00312470">
              <w:rPr>
                <w:rFonts w:ascii="黑体" w:eastAsia="黑体" w:hAnsi="黑体" w:cs="黑体" w:hint="eastAsia"/>
                <w:sz w:val="30"/>
                <w:szCs w:val="30"/>
              </w:rPr>
              <w:instrText xml:space="preserve"> PAGEREF _Toc89351219 \h </w:instrText>
            </w:r>
            <w:r w:rsidR="00312470">
              <w:rPr>
                <w:rFonts w:ascii="黑体" w:eastAsia="黑体" w:hAnsi="黑体" w:cs="黑体" w:hint="eastAsia"/>
                <w:sz w:val="30"/>
                <w:szCs w:val="30"/>
              </w:rPr>
            </w:r>
            <w:r w:rsidR="00312470">
              <w:rPr>
                <w:rFonts w:ascii="黑体" w:eastAsia="黑体" w:hAnsi="黑体" w:cs="黑体" w:hint="eastAsia"/>
                <w:sz w:val="30"/>
                <w:szCs w:val="30"/>
              </w:rPr>
              <w:fldChar w:fldCharType="separate"/>
            </w:r>
            <w:r w:rsidR="00312470">
              <w:rPr>
                <w:rFonts w:ascii="黑体" w:eastAsia="黑体" w:hAnsi="黑体" w:cs="黑体" w:hint="eastAsia"/>
                <w:sz w:val="30"/>
                <w:szCs w:val="30"/>
              </w:rPr>
              <w:t>15</w:t>
            </w:r>
            <w:r w:rsidR="00312470">
              <w:rPr>
                <w:rFonts w:ascii="黑体" w:eastAsia="黑体" w:hAnsi="黑体" w:cs="黑体" w:hint="eastAsia"/>
                <w:sz w:val="30"/>
                <w:szCs w:val="30"/>
              </w:rPr>
              <w:fldChar w:fldCharType="end"/>
            </w:r>
          </w:hyperlink>
        </w:p>
        <w:p w14:paraId="561DACCF" w14:textId="77777777" w:rsidR="0014483B" w:rsidRDefault="00312470">
          <w:pPr>
            <w:rPr>
              <w:rFonts w:ascii="仿宋" w:eastAsia="仿宋" w:hAnsi="仿宋"/>
              <w:sz w:val="30"/>
              <w:szCs w:val="30"/>
            </w:rPr>
          </w:pPr>
          <w:r>
            <w:rPr>
              <w:rFonts w:ascii="黑体" w:eastAsia="黑体" w:hAnsi="黑体" w:cs="黑体" w:hint="eastAsia"/>
              <w:b/>
              <w:bCs/>
              <w:sz w:val="32"/>
              <w:szCs w:val="32"/>
              <w:lang w:val="zh-CN"/>
            </w:rPr>
            <w:fldChar w:fldCharType="end"/>
          </w:r>
        </w:p>
      </w:sdtContent>
    </w:sdt>
    <w:p w14:paraId="4B7B5305" w14:textId="77777777" w:rsidR="0014483B" w:rsidRDefault="0014483B">
      <w:pPr>
        <w:rPr>
          <w:rFonts w:ascii="Times New Roman" w:eastAsia="黑体" w:hAnsi="Times New Roman" w:cs="Times New Roman"/>
          <w:kern w:val="0"/>
          <w:sz w:val="32"/>
          <w:szCs w:val="32"/>
        </w:rPr>
      </w:pPr>
    </w:p>
    <w:p w14:paraId="552CCE24" w14:textId="77777777" w:rsidR="0014483B" w:rsidRDefault="0014483B">
      <w:pPr>
        <w:rPr>
          <w:rFonts w:ascii="Times New Roman" w:eastAsia="黑体" w:hAnsi="Times New Roman" w:cs="Times New Roman"/>
          <w:sz w:val="32"/>
          <w:szCs w:val="32"/>
        </w:rPr>
        <w:sectPr w:rsidR="0014483B">
          <w:footerReference w:type="default" r:id="rId8"/>
          <w:pgSz w:w="11906" w:h="16838"/>
          <w:pgMar w:top="1440" w:right="1800" w:bottom="1440" w:left="1800" w:header="851" w:footer="992" w:gutter="0"/>
          <w:cols w:space="425"/>
          <w:docGrid w:type="lines" w:linePitch="312"/>
        </w:sectPr>
      </w:pPr>
    </w:p>
    <w:p w14:paraId="32ED276D" w14:textId="77777777" w:rsidR="0014483B" w:rsidRDefault="00312470">
      <w:pPr>
        <w:pStyle w:val="1"/>
        <w:spacing w:line="588" w:lineRule="exact"/>
      </w:pPr>
      <w:bookmarkStart w:id="0" w:name="_Toc89351202"/>
      <w:r>
        <w:rPr>
          <w:rFonts w:hint="eastAsia"/>
        </w:rPr>
        <w:lastRenderedPageBreak/>
        <w:t>前言</w:t>
      </w:r>
      <w:bookmarkEnd w:id="0"/>
    </w:p>
    <w:p w14:paraId="4F0E4D19"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ESG代表Environmental（环境）、Social（社会）和Governance（管治），是一种关注企业环境、社会、治理绩效而非财务绩效的投资理念和企业评价标准。</w:t>
      </w:r>
    </w:p>
    <w:p w14:paraId="72B0A360"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从国际形势来看，环境、社会和管治（ESG）问题已得到世界各国的广泛关注。联合国与全球相关组织、政府部门已推出一系列ESG政策和法律法规、ESG标准指引，推动ESG规范发展。</w:t>
      </w:r>
    </w:p>
    <w:p w14:paraId="7D789E45" w14:textId="77777777" w:rsidR="0014483B" w:rsidRDefault="00312470">
      <w:pPr>
        <w:spacing w:line="588" w:lineRule="exact"/>
        <w:ind w:firstLineChars="200" w:firstLine="640"/>
      </w:pPr>
      <w:r>
        <w:rPr>
          <w:rFonts w:ascii="仿宋_GB2312" w:eastAsia="仿宋_GB2312" w:hAnsi="仿宋_GB2312" w:cs="仿宋_GB2312" w:hint="eastAsia"/>
          <w:sz w:val="32"/>
          <w:szCs w:val="32"/>
        </w:rPr>
        <w:t>就国内环境而言，ESG的理念与我国秉持的创新、协调、绿色、开放、共享发展理念一致，与“十四五”规划提出的推动高质量发展、推动绿色转型等重点任务以及“碳达峰、碳中和”目标高度契合。2015年9月，习近平主席出席联合国发展峰会，同各国领导人一致通过《变革我们的世界：2030年可持续发展议程》，开启全球可持续发展事业的新纪元，为各国发展和国际发展合作指明方向。2020年9月22日，习近平主席在第七十五届联合国大会一般性辩论上提出中国“碳达峰、碳中和”目标，对全球气候治理起到关键性推动作用。</w:t>
      </w:r>
    </w:p>
    <w:p w14:paraId="175CBBC6"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南所规定的ESG评价指标体系包含环境、社会、管治三大领域，以环境、产品、员工、供应链、社区、ESG管理、公司治理为一级指标，下设24项二级指标。在实践操作和评价时，可根据企业所在的区域经济、社会和环境发展水平，结合企业所属的产业行业、自身特点和发展阶段以及利</w:t>
      </w:r>
      <w:r>
        <w:rPr>
          <w:rFonts w:ascii="仿宋_GB2312" w:eastAsia="仿宋_GB2312" w:hAnsi="仿宋_GB2312" w:cs="仿宋_GB2312" w:hint="eastAsia"/>
          <w:sz w:val="32"/>
          <w:szCs w:val="32"/>
        </w:rPr>
        <w:lastRenderedPageBreak/>
        <w:t>益相关方期望，在满足适用法律法规要求的基础上，识别和确定行业特定指标。企业ESG所包含的主题和具体内容随着社会的发展和时代的进步不断发展变化。</w:t>
      </w:r>
    </w:p>
    <w:p w14:paraId="5B9C5466" w14:textId="77777777" w:rsidR="0014483B" w:rsidRDefault="00312470">
      <w:pPr>
        <w:pStyle w:val="1"/>
        <w:spacing w:line="588" w:lineRule="exact"/>
      </w:pPr>
      <w:bookmarkStart w:id="1" w:name="_Toc89351203"/>
      <w:r>
        <w:rPr>
          <w:rFonts w:hint="eastAsia"/>
        </w:rPr>
        <w:t>范围</w:t>
      </w:r>
      <w:bookmarkEnd w:id="1"/>
    </w:p>
    <w:p w14:paraId="175EB31C"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本指南适用于不同行业、类型、规模的企业或分支机构。可用于政府有关部门、第三方机构对企业ESG情况开展评价，也可用于企业为确定自身ESG管理过程和绩效开展自我评价。</w:t>
      </w:r>
    </w:p>
    <w:p w14:paraId="2709FBC9" w14:textId="77777777" w:rsidR="0014483B" w:rsidRDefault="00312470">
      <w:pPr>
        <w:pStyle w:val="1"/>
        <w:spacing w:line="588" w:lineRule="exact"/>
      </w:pPr>
      <w:bookmarkStart w:id="2" w:name="_Toc89351204"/>
      <w:r>
        <w:rPr>
          <w:rFonts w:hint="eastAsia"/>
        </w:rPr>
        <w:t>规范性引用文件</w:t>
      </w:r>
      <w:bookmarkEnd w:id="2"/>
    </w:p>
    <w:p w14:paraId="450D13DA"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下列文件对于本指南的应用是必不可少的。凡是注日期的引用文件，仅所注日期的版本适用于本文件。凡是不注日期的引用文件，其最新版本（包括所有的修改单）适用于本文件。</w:t>
      </w:r>
    </w:p>
    <w:p w14:paraId="21BF7720"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ISO 26000：2010 Guidance Social Responsibility</w:t>
      </w:r>
    </w:p>
    <w:p w14:paraId="4949D3CD"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36000-2015 社会责任指南</w:t>
      </w:r>
    </w:p>
    <w:p w14:paraId="304F3CC2"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36002-2015 社会责任绩效分类指引</w:t>
      </w:r>
    </w:p>
    <w:p w14:paraId="6ADABDC8" w14:textId="77777777" w:rsidR="0014483B" w:rsidRDefault="00312470">
      <w:pPr>
        <w:pStyle w:val="1"/>
        <w:spacing w:line="588" w:lineRule="exact"/>
      </w:pPr>
      <w:bookmarkStart w:id="3" w:name="_Toc89351205"/>
      <w:r>
        <w:t>企</w:t>
      </w:r>
      <w:r>
        <w:rPr>
          <w:rFonts w:ascii="黑体" w:hAnsi="黑体" w:cs="黑体" w:hint="eastAsia"/>
        </w:rPr>
        <w:t>业ESG</w:t>
      </w:r>
      <w:r>
        <w:t>评价原则</w:t>
      </w:r>
      <w:bookmarkEnd w:id="3"/>
    </w:p>
    <w:p w14:paraId="64AFA3A8" w14:textId="77777777" w:rsidR="0014483B" w:rsidRDefault="00312470">
      <w:pPr>
        <w:pStyle w:val="2"/>
        <w:numPr>
          <w:ilvl w:val="0"/>
          <w:numId w:val="4"/>
        </w:numPr>
        <w:spacing w:line="588" w:lineRule="exact"/>
        <w:rPr>
          <w:rFonts w:ascii="楷体_GB2312" w:eastAsia="楷体_GB2312" w:hAnsi="楷体_GB2312" w:cs="楷体_GB2312"/>
          <w:b/>
          <w:bCs/>
        </w:rPr>
      </w:pPr>
      <w:bookmarkStart w:id="4" w:name="_Toc89351206"/>
      <w:r>
        <w:rPr>
          <w:rFonts w:ascii="楷体_GB2312" w:eastAsia="楷体_GB2312" w:hAnsi="楷体_GB2312" w:cs="楷体_GB2312" w:hint="eastAsia"/>
          <w:b/>
          <w:bCs/>
        </w:rPr>
        <w:t>科学性原则</w:t>
      </w:r>
      <w:bookmarkEnd w:id="4"/>
    </w:p>
    <w:p w14:paraId="41264391"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的ESG评价需要建立一套科学合理、便于操作并行之有效的综合评价指标体系。评价体系的构建要遵循科学理论，评价指标的选择既要考虑体系的完整性，又要保证指标的代表性，即每一个指标的确定都要考虑此项指标在整个指标体系中的地位和作用。</w:t>
      </w:r>
    </w:p>
    <w:p w14:paraId="73FADBDA" w14:textId="77777777" w:rsidR="0014483B" w:rsidRDefault="00312470">
      <w:pPr>
        <w:pStyle w:val="2"/>
        <w:numPr>
          <w:ilvl w:val="0"/>
          <w:numId w:val="4"/>
        </w:numPr>
        <w:spacing w:line="588" w:lineRule="exact"/>
        <w:rPr>
          <w:rFonts w:ascii="楷体_GB2312" w:eastAsia="楷体_GB2312" w:hAnsi="楷体_GB2312" w:cs="楷体_GB2312"/>
          <w:b/>
          <w:bCs/>
        </w:rPr>
      </w:pPr>
      <w:bookmarkStart w:id="5" w:name="_Toc59534076"/>
      <w:bookmarkStart w:id="6" w:name="_Toc89351207"/>
      <w:r>
        <w:rPr>
          <w:rFonts w:ascii="楷体_GB2312" w:eastAsia="楷体_GB2312" w:hAnsi="楷体_GB2312" w:cs="楷体_GB2312" w:hint="eastAsia"/>
          <w:b/>
          <w:bCs/>
        </w:rPr>
        <w:t>系统性原则</w:t>
      </w:r>
      <w:bookmarkEnd w:id="5"/>
      <w:bookmarkEnd w:id="6"/>
    </w:p>
    <w:p w14:paraId="79D133A7"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ESG评价是一项内容丰富、议题多元的系统工作。因此，企业的ESG评价指标既要反映企业ESG的管理情况，又要反映企业ESG取得的绩效，同时也要反映企业适应未来趋势的能力。系统性原则要求各个具体指标在其涵义、口径范围、计算方法、计算时间和空间范围等方面要相互衔接和相互协调。</w:t>
      </w:r>
    </w:p>
    <w:p w14:paraId="69B77870" w14:textId="77777777" w:rsidR="0014483B" w:rsidRDefault="00312470">
      <w:pPr>
        <w:pStyle w:val="2"/>
        <w:numPr>
          <w:ilvl w:val="0"/>
          <w:numId w:val="4"/>
        </w:numPr>
        <w:spacing w:line="588" w:lineRule="exact"/>
        <w:rPr>
          <w:rFonts w:ascii="楷体_GB2312" w:eastAsia="楷体_GB2312" w:hAnsi="楷体_GB2312" w:cs="楷体_GB2312"/>
          <w:b/>
          <w:bCs/>
        </w:rPr>
      </w:pPr>
      <w:bookmarkStart w:id="7" w:name="_Toc89351208"/>
      <w:bookmarkStart w:id="8" w:name="_Toc59534077"/>
      <w:r>
        <w:rPr>
          <w:rFonts w:ascii="楷体_GB2312" w:eastAsia="楷体_GB2312" w:hAnsi="楷体_GB2312" w:cs="楷体_GB2312" w:hint="eastAsia"/>
          <w:b/>
          <w:bCs/>
        </w:rPr>
        <w:t>完整性原则</w:t>
      </w:r>
      <w:bookmarkEnd w:id="7"/>
      <w:bookmarkEnd w:id="8"/>
    </w:p>
    <w:p w14:paraId="3E945AB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评价体系要尽可能涵盖企业对各利益相关方的影响和价值，兼顾定量指标与定性指标，尽可能全面反映企业ESG的关键内容。</w:t>
      </w:r>
    </w:p>
    <w:p w14:paraId="5C6A271A" w14:textId="77777777" w:rsidR="0014483B" w:rsidRDefault="00312470">
      <w:pPr>
        <w:pStyle w:val="2"/>
        <w:numPr>
          <w:ilvl w:val="0"/>
          <w:numId w:val="4"/>
        </w:numPr>
        <w:spacing w:line="588" w:lineRule="exact"/>
        <w:rPr>
          <w:rFonts w:ascii="楷体_GB2312" w:eastAsia="楷体_GB2312" w:hAnsi="楷体_GB2312" w:cs="楷体_GB2312"/>
          <w:b/>
          <w:bCs/>
        </w:rPr>
      </w:pPr>
      <w:bookmarkStart w:id="9" w:name="_Toc89351209"/>
      <w:bookmarkStart w:id="10" w:name="_Toc59534078"/>
      <w:r>
        <w:rPr>
          <w:rFonts w:ascii="楷体_GB2312" w:eastAsia="楷体_GB2312" w:hAnsi="楷体_GB2312" w:cs="楷体_GB2312" w:hint="eastAsia"/>
          <w:b/>
          <w:bCs/>
        </w:rPr>
        <w:t>实用性原则</w:t>
      </w:r>
      <w:bookmarkEnd w:id="9"/>
      <w:bookmarkEnd w:id="10"/>
    </w:p>
    <w:p w14:paraId="6F6B08DA"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构建企业ESG评价体系的基本目的，就是要把企业ESG水平和能力变为可以度量、计算、比较的数据，以便为制定行业ESG规划及开展行业分析工作提供定量化的依据。因此，在构建ESG指标体系时，要注意指标实际反映的企业管理内涵，能真实体现企业的ESG水平和能力。</w:t>
      </w:r>
    </w:p>
    <w:p w14:paraId="783F8F6C" w14:textId="77777777" w:rsidR="0014483B" w:rsidRDefault="00312470">
      <w:pPr>
        <w:pStyle w:val="1"/>
        <w:spacing w:line="588" w:lineRule="exact"/>
      </w:pPr>
      <w:bookmarkStart w:id="11" w:name="_Toc89351210"/>
      <w:r>
        <w:rPr>
          <w:rFonts w:hint="eastAsia"/>
        </w:rPr>
        <w:t>企</w:t>
      </w:r>
      <w:r>
        <w:rPr>
          <w:rFonts w:ascii="黑体" w:hAnsi="黑体" w:cs="黑体" w:hint="eastAsia"/>
        </w:rPr>
        <w:t>业ESG</w:t>
      </w:r>
      <w:r>
        <w:rPr>
          <w:rFonts w:hint="eastAsia"/>
        </w:rPr>
        <w:t>评价过程</w:t>
      </w:r>
      <w:bookmarkEnd w:id="11"/>
    </w:p>
    <w:p w14:paraId="396E28BB"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本指南，评价机构基于多维度的数据归集以及评价指标体系，以访谈、查阅、考察、证实、记录等方式获取客观证据、验证数据以及相关补充信息，对企业ESG管理过程和绩效进行评价，确定企业在评价期内的ESG评价等级。</w:t>
      </w:r>
    </w:p>
    <w:p w14:paraId="521D6992" w14:textId="77777777" w:rsidR="0014483B" w:rsidRDefault="00312470">
      <w:pPr>
        <w:pStyle w:val="2"/>
        <w:numPr>
          <w:ilvl w:val="0"/>
          <w:numId w:val="5"/>
        </w:numPr>
        <w:spacing w:line="588" w:lineRule="exact"/>
        <w:rPr>
          <w:rFonts w:ascii="楷体_GB2312" w:eastAsia="楷体_GB2312" w:hAnsi="楷体_GB2312" w:cs="楷体_GB2312"/>
          <w:b/>
          <w:bCs/>
        </w:rPr>
      </w:pPr>
      <w:bookmarkStart w:id="12" w:name="_Toc89351211"/>
      <w:r>
        <w:rPr>
          <w:rFonts w:ascii="楷体_GB2312" w:eastAsia="楷体_GB2312" w:hAnsi="楷体_GB2312" w:cs="楷体_GB2312" w:hint="eastAsia"/>
          <w:b/>
          <w:bCs/>
        </w:rPr>
        <w:t>评价依据及数据来源</w:t>
      </w:r>
      <w:bookmarkEnd w:id="12"/>
    </w:p>
    <w:p w14:paraId="4D67E57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评价企业ESG管理过程和绩效的主要依据及数据来源包</w:t>
      </w:r>
      <w:r>
        <w:rPr>
          <w:rFonts w:ascii="仿宋_GB2312" w:eastAsia="仿宋_GB2312" w:hAnsi="仿宋_GB2312" w:cs="仿宋_GB2312" w:hint="eastAsia"/>
          <w:sz w:val="32"/>
          <w:szCs w:val="32"/>
        </w:rPr>
        <w:lastRenderedPageBreak/>
        <w:t>括但不仅限于：</w:t>
      </w:r>
    </w:p>
    <w:p w14:paraId="25DC22B6"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1.企业提交的ESG相关的文件、材料、数据等；</w:t>
      </w:r>
    </w:p>
    <w:p w14:paraId="092C7756"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2.公共信用信息系统及其他相关部门提供的ESG管理及绩效相关数据；</w:t>
      </w:r>
    </w:p>
    <w:p w14:paraId="09EAE235"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3.评价机构经实地考察或调查、访谈等方式获得的数据，以及第三方机构提供的相关数据；</w:t>
      </w:r>
    </w:p>
    <w:p w14:paraId="12F4B511"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4.地方政府部门、社团组织、人民群众提供的其他材料或数据。</w:t>
      </w:r>
    </w:p>
    <w:p w14:paraId="50D30E4A" w14:textId="77777777" w:rsidR="0014483B" w:rsidRDefault="00312470">
      <w:pPr>
        <w:pStyle w:val="2"/>
        <w:numPr>
          <w:ilvl w:val="0"/>
          <w:numId w:val="5"/>
        </w:numPr>
        <w:spacing w:line="588" w:lineRule="exact"/>
        <w:rPr>
          <w:rFonts w:ascii="楷体_GB2312" w:eastAsia="楷体_GB2312" w:hAnsi="楷体_GB2312" w:cs="楷体_GB2312"/>
          <w:b/>
          <w:bCs/>
        </w:rPr>
      </w:pPr>
      <w:bookmarkStart w:id="13" w:name="_Toc89351212"/>
      <w:r>
        <w:rPr>
          <w:rFonts w:ascii="楷体_GB2312" w:eastAsia="楷体_GB2312" w:hAnsi="楷体_GB2312" w:cs="楷体_GB2312" w:hint="eastAsia"/>
          <w:b/>
          <w:bCs/>
        </w:rPr>
        <w:t>评价基本程序</w:t>
      </w:r>
      <w:bookmarkEnd w:id="13"/>
    </w:p>
    <w:p w14:paraId="4BD800CD"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1.评价组织</w:t>
      </w:r>
    </w:p>
    <w:p w14:paraId="38A3A319"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应用本指南开展企业ESG评价工作的组织应满足以下要求：</w:t>
      </w:r>
    </w:p>
    <w:p w14:paraId="78B4BBC3"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a）应具备开展评价工作的专职人员；</w:t>
      </w:r>
    </w:p>
    <w:p w14:paraId="48942532"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b）应设立至少三名成员组成的评价小组；</w:t>
      </w:r>
    </w:p>
    <w:p w14:paraId="7663C4A7"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c）应明确评价小组成员的主要职责、权限；</w:t>
      </w:r>
    </w:p>
    <w:p w14:paraId="6C7C4489"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d）应具有保障评价活动的程序手册和质量管控机制；</w:t>
      </w:r>
    </w:p>
    <w:p w14:paraId="765E1DF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e）应对评价有关资料进行存档，并保护被评价企业的商业秘密。</w:t>
      </w:r>
    </w:p>
    <w:p w14:paraId="13B1C4F0" w14:textId="77777777" w:rsidR="0014483B" w:rsidRDefault="00312470">
      <w:pPr>
        <w:spacing w:line="588" w:lineRule="exact"/>
        <w:ind w:firstLineChars="200" w:firstLine="640"/>
        <w:rPr>
          <w:rFonts w:ascii="仿宋_GB2312" w:eastAsia="仿宋_GB2312" w:hAnsi="仿宋_GB2312" w:cs="仿宋_GB2312"/>
          <w:sz w:val="32"/>
          <w:szCs w:val="32"/>
        </w:rPr>
      </w:pPr>
      <w:bookmarkStart w:id="14" w:name="_Toc75961240"/>
      <w:bookmarkStart w:id="15" w:name="_Toc59534082"/>
      <w:r>
        <w:rPr>
          <w:rFonts w:ascii="仿宋_GB2312" w:eastAsia="仿宋_GB2312" w:hAnsi="仿宋_GB2312" w:cs="仿宋_GB2312" w:hint="eastAsia"/>
          <w:sz w:val="32"/>
          <w:szCs w:val="32"/>
        </w:rPr>
        <w:t>2.评价人员</w:t>
      </w:r>
      <w:bookmarkEnd w:id="14"/>
      <w:bookmarkEnd w:id="15"/>
    </w:p>
    <w:p w14:paraId="25DCE40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应用本指南开展企业ESG评价工作的人员应满足以下要求：</w:t>
      </w:r>
    </w:p>
    <w:p w14:paraId="2625E81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a）应具有ESG的研究、评价、咨询等经验；</w:t>
      </w:r>
    </w:p>
    <w:p w14:paraId="1746AA7B"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b）应熟悉国内外ESG方针政策、相关法律法规；</w:t>
      </w:r>
    </w:p>
    <w:p w14:paraId="0D06F386"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c）应具备识别、分析企业ESG方面主要问题的能力；</w:t>
      </w:r>
    </w:p>
    <w:p w14:paraId="5EB9100E"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d）应知晓行业特点；</w:t>
      </w:r>
    </w:p>
    <w:p w14:paraId="7CA9C1A6"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e）应独立于被评价企业；</w:t>
      </w:r>
    </w:p>
    <w:p w14:paraId="1776F1F9" w14:textId="77777777" w:rsidR="0014483B" w:rsidRDefault="00312470">
      <w:pPr>
        <w:spacing w:line="588"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f）应恪守职业道德，坚持公平公正的原则。</w:t>
      </w:r>
    </w:p>
    <w:p w14:paraId="492D89E4" w14:textId="77777777" w:rsidR="0014483B" w:rsidRDefault="00312470">
      <w:pPr>
        <w:pStyle w:val="2"/>
        <w:numPr>
          <w:ilvl w:val="0"/>
          <w:numId w:val="5"/>
        </w:numPr>
        <w:spacing w:line="588" w:lineRule="exact"/>
        <w:rPr>
          <w:rFonts w:ascii="楷体_GB2312" w:eastAsia="楷体_GB2312" w:hAnsi="楷体_GB2312" w:cs="楷体_GB2312"/>
          <w:b/>
          <w:bCs/>
        </w:rPr>
      </w:pPr>
      <w:bookmarkStart w:id="16" w:name="_Toc89351213"/>
      <w:r>
        <w:rPr>
          <w:rFonts w:ascii="楷体_GB2312" w:eastAsia="楷体_GB2312" w:hAnsi="楷体_GB2312" w:cs="楷体_GB2312" w:hint="eastAsia"/>
          <w:b/>
          <w:bCs/>
        </w:rPr>
        <w:t>评价方法</w:t>
      </w:r>
      <w:bookmarkEnd w:id="16"/>
    </w:p>
    <w:p w14:paraId="730FBEA6"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根据所收集到的被评价企业ESG管理过程和绩效信息或相关资料，评价机构应按照统一的评分标准对被评企业各项指标进行赋分。</w:t>
      </w:r>
    </w:p>
    <w:p w14:paraId="3E11E9CE"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通过计算被评企业各项指标的加权得分，将其加和得到被评企业的ESG评价得分（Score），计算公式见式（1）：</w:t>
      </w:r>
    </w:p>
    <w:p w14:paraId="50435548" w14:textId="77777777" w:rsidR="0014483B" w:rsidRDefault="00312470">
      <w:pPr>
        <w:spacing w:line="588" w:lineRule="exact"/>
        <w:ind w:firstLineChars="200" w:firstLine="640"/>
        <w:rPr>
          <w:rFonts w:ascii="仿宋_GB2312" w:eastAsia="仿宋_GB2312" w:hAnsi="仿宋_GB2312" w:cs="仿宋_GB2312"/>
          <w:sz w:val="32"/>
          <w:szCs w:val="32"/>
        </w:rPr>
      </w:pPr>
      <m:oMath>
        <m:r>
          <m:rPr>
            <m:sty m:val="p"/>
          </m:rPr>
          <w:rPr>
            <w:rFonts w:ascii="Cambria Math" w:eastAsia="仿宋_GB2312" w:hAnsi="Cambria Math" w:cs="仿宋_GB2312" w:hint="eastAsia"/>
            <w:sz w:val="32"/>
            <w:szCs w:val="32"/>
          </w:rPr>
          <m:t>Score=</m:t>
        </m:r>
        <m:nary>
          <m:naryPr>
            <m:chr m:val="∑"/>
            <m:limLoc m:val="subSup"/>
            <m:ctrlPr>
              <w:rPr>
                <w:rFonts w:ascii="Cambria Math" w:eastAsia="仿宋_GB2312" w:hAnsi="Cambria Math" w:cs="仿宋_GB2312" w:hint="eastAsia"/>
                <w:sz w:val="32"/>
                <w:szCs w:val="32"/>
              </w:rPr>
            </m:ctrlPr>
          </m:naryPr>
          <m:sub>
            <m:r>
              <m:rPr>
                <m:sty m:val="p"/>
              </m:rPr>
              <w:rPr>
                <w:rFonts w:ascii="Cambria Math" w:eastAsia="仿宋_GB2312" w:hAnsi="Cambria Math" w:cs="仿宋_GB2312" w:hint="eastAsia"/>
                <w:sz w:val="32"/>
                <w:szCs w:val="32"/>
              </w:rPr>
              <m:t>i=1</m:t>
            </m:r>
          </m:sub>
          <m:sup>
            <m:r>
              <m:rPr>
                <m:sty m:val="p"/>
              </m:rPr>
              <w:rPr>
                <w:rFonts w:ascii="Cambria Math" w:eastAsia="仿宋_GB2312" w:hAnsi="Cambria Math" w:cs="仿宋_GB2312" w:hint="eastAsia"/>
                <w:sz w:val="32"/>
                <w:szCs w:val="32"/>
              </w:rPr>
              <m:t>n</m:t>
            </m:r>
          </m:sup>
          <m:e>
            <m:nary>
              <m:naryPr>
                <m:chr m:val="∑"/>
                <m:limLoc m:val="subSup"/>
                <m:ctrlPr>
                  <w:rPr>
                    <w:rFonts w:ascii="Cambria Math" w:eastAsia="仿宋_GB2312" w:hAnsi="Cambria Math" w:cs="仿宋_GB2312" w:hint="eastAsia"/>
                    <w:sz w:val="32"/>
                    <w:szCs w:val="32"/>
                  </w:rPr>
                </m:ctrlPr>
              </m:naryPr>
              <m:sub>
                <m:r>
                  <m:rPr>
                    <m:sty m:val="p"/>
                  </m:rPr>
                  <w:rPr>
                    <w:rFonts w:ascii="Cambria Math" w:eastAsia="仿宋_GB2312" w:hAnsi="Cambria Math" w:cs="仿宋_GB2312" w:hint="eastAsia"/>
                    <w:sz w:val="32"/>
                    <w:szCs w:val="32"/>
                  </w:rPr>
                  <m:t>j=1</m:t>
                </m:r>
              </m:sub>
              <m:sup>
                <m:r>
                  <m:rPr>
                    <m:sty m:val="p"/>
                  </m:rPr>
                  <w:rPr>
                    <w:rFonts w:ascii="Cambria Math" w:eastAsia="仿宋_GB2312" w:hAnsi="Cambria Math" w:cs="仿宋_GB2312" w:hint="eastAsia"/>
                    <w:sz w:val="32"/>
                    <w:szCs w:val="32"/>
                  </w:rPr>
                  <m:t>m</m:t>
                </m:r>
              </m:sup>
              <m:e>
                <m:sSub>
                  <m:sSubPr>
                    <m:ctrlPr>
                      <w:rPr>
                        <w:rFonts w:ascii="Cambria Math" w:eastAsia="仿宋_GB2312" w:hAnsi="Cambria Math" w:cs="仿宋_GB2312" w:hint="eastAsia"/>
                        <w:sz w:val="32"/>
                        <w:szCs w:val="32"/>
                      </w:rPr>
                    </m:ctrlPr>
                  </m:sSubPr>
                  <m:e>
                    <m:r>
                      <m:rPr>
                        <m:sty m:val="p"/>
                      </m:rPr>
                      <w:rPr>
                        <w:rFonts w:ascii="Cambria Math" w:eastAsia="仿宋_GB2312" w:hAnsi="Cambria Math" w:cs="仿宋_GB2312" w:hint="eastAsia"/>
                        <w:sz w:val="32"/>
                        <w:szCs w:val="32"/>
                      </w:rPr>
                      <m:t>a</m:t>
                    </m:r>
                  </m:e>
                  <m:sub>
                    <m:r>
                      <m:rPr>
                        <m:sty m:val="p"/>
                      </m:rPr>
                      <w:rPr>
                        <w:rFonts w:ascii="Cambria Math" w:eastAsia="仿宋_GB2312" w:hAnsi="Cambria Math" w:cs="仿宋_GB2312" w:hint="eastAsia"/>
                        <w:sz w:val="32"/>
                        <w:szCs w:val="32"/>
                      </w:rPr>
                      <m:t>ij</m:t>
                    </m:r>
                  </m:sub>
                </m:sSub>
                <m:sSub>
                  <m:sSubPr>
                    <m:ctrlPr>
                      <w:rPr>
                        <w:rFonts w:ascii="Cambria Math" w:eastAsia="仿宋_GB2312" w:hAnsi="Cambria Math" w:cs="仿宋_GB2312" w:hint="eastAsia"/>
                        <w:sz w:val="32"/>
                        <w:szCs w:val="32"/>
                      </w:rPr>
                    </m:ctrlPr>
                  </m:sSubPr>
                  <m:e>
                    <m:r>
                      <m:rPr>
                        <m:sty m:val="p"/>
                      </m:rPr>
                      <w:rPr>
                        <w:rFonts w:ascii="Cambria Math" w:eastAsia="仿宋_GB2312" w:hAnsi="Cambria Math" w:cs="仿宋_GB2312" w:hint="eastAsia"/>
                        <w:sz w:val="32"/>
                        <w:szCs w:val="32"/>
                      </w:rPr>
                      <m:t>F</m:t>
                    </m:r>
                  </m:e>
                  <m:sub>
                    <m:r>
                      <m:rPr>
                        <m:sty m:val="p"/>
                      </m:rPr>
                      <w:rPr>
                        <w:rFonts w:ascii="Cambria Math" w:eastAsia="仿宋_GB2312" w:hAnsi="Cambria Math" w:cs="仿宋_GB2312" w:hint="eastAsia"/>
                        <w:sz w:val="32"/>
                        <w:szCs w:val="32"/>
                      </w:rPr>
                      <m:t>ij</m:t>
                    </m:r>
                  </m:sub>
                </m:sSub>
              </m:e>
            </m:nary>
          </m:e>
        </m:nary>
      </m:oMath>
      <w:r>
        <w:rPr>
          <w:rFonts w:ascii="仿宋_GB2312" w:eastAsia="仿宋_GB2312" w:hAnsi="仿宋_GB2312" w:cs="仿宋_GB2312" w:hint="eastAsia"/>
          <w:sz w:val="32"/>
          <w:szCs w:val="32"/>
        </w:rPr>
        <w:t>…………………………（1）</w:t>
      </w:r>
    </w:p>
    <w:p w14:paraId="422B9601"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式中：</w:t>
      </w:r>
    </w:p>
    <w:p w14:paraId="1D267EF4"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Score —— 被评ESG评价得分；</w:t>
      </w:r>
    </w:p>
    <w:p w14:paraId="68E12144"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i —— 一级指标序号；</w:t>
      </w:r>
    </w:p>
    <w:p w14:paraId="1FC62A9C"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j —— 二级指标序号；</w:t>
      </w:r>
    </w:p>
    <w:p w14:paraId="105D74A6"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n —— 一级指标的数量；</w:t>
      </w:r>
    </w:p>
    <w:p w14:paraId="6C50ACD7"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m —— 一级指标下二级指标的数量；</w:t>
      </w:r>
    </w:p>
    <w:p w14:paraId="6E039835"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aij —— 第i个一级指标下的第j个指标的权重；</w:t>
      </w:r>
    </w:p>
    <w:p w14:paraId="1AF31CD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Fij —— 第i个一级指标下的第j个指标的分数值。</w:t>
      </w:r>
    </w:p>
    <w:p w14:paraId="7BA754F9" w14:textId="77777777" w:rsidR="0014483B" w:rsidRDefault="00312470">
      <w:pPr>
        <w:pStyle w:val="2"/>
        <w:numPr>
          <w:ilvl w:val="0"/>
          <w:numId w:val="5"/>
        </w:numPr>
        <w:spacing w:line="588" w:lineRule="exact"/>
        <w:rPr>
          <w:rFonts w:ascii="楷体_GB2312" w:eastAsia="楷体_GB2312" w:hAnsi="楷体_GB2312" w:cs="楷体_GB2312"/>
          <w:b/>
          <w:bCs/>
        </w:rPr>
      </w:pPr>
      <w:bookmarkStart w:id="17" w:name="_Toc89351214"/>
      <w:r>
        <w:rPr>
          <w:rFonts w:ascii="楷体_GB2312" w:eastAsia="楷体_GB2312" w:hAnsi="楷体_GB2312" w:cs="楷体_GB2312" w:hint="eastAsia"/>
          <w:b/>
          <w:bCs/>
        </w:rPr>
        <w:t>评价等级</w:t>
      </w:r>
      <w:bookmarkEnd w:id="17"/>
    </w:p>
    <w:p w14:paraId="5D73DCFA"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企业的ESG评价等级会根据评价得分划分为10个等级，具体分级分类方法如表1所示：</w:t>
      </w:r>
    </w:p>
    <w:p w14:paraId="40F13ADC" w14:textId="77777777" w:rsidR="0014483B" w:rsidRDefault="0014483B">
      <w:pPr>
        <w:spacing w:line="588" w:lineRule="exact"/>
        <w:ind w:firstLineChars="200" w:firstLine="640"/>
        <w:rPr>
          <w:rFonts w:ascii="仿宋_GB2312" w:eastAsia="仿宋_GB2312" w:hAnsi="仿宋_GB2312" w:cs="仿宋_GB2312"/>
          <w:sz w:val="32"/>
          <w:szCs w:val="32"/>
        </w:rPr>
      </w:pPr>
    </w:p>
    <w:p w14:paraId="016BF42D" w14:textId="77777777" w:rsidR="0014483B" w:rsidRDefault="0014483B">
      <w:pPr>
        <w:jc w:val="center"/>
        <w:rPr>
          <w:rFonts w:ascii="仿宋_GB2312" w:eastAsia="仿宋_GB2312" w:hAnsi="仿宋_GB2312" w:cs="仿宋_GB2312"/>
          <w:sz w:val="24"/>
          <w:szCs w:val="24"/>
        </w:rPr>
      </w:pPr>
    </w:p>
    <w:p w14:paraId="25830531" w14:textId="77777777" w:rsidR="0014483B" w:rsidRDefault="0031247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 xml:space="preserve">表 </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SEQ 表 \* ARABIC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 企业ESG发展等级</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729"/>
        <w:gridCol w:w="3096"/>
      </w:tblGrid>
      <w:tr w:rsidR="0014483B" w14:paraId="49BEBF39" w14:textId="77777777">
        <w:trPr>
          <w:tblHeader/>
        </w:trPr>
        <w:tc>
          <w:tcPr>
            <w:tcW w:w="1489" w:type="pct"/>
            <w:vAlign w:val="center"/>
          </w:tcPr>
          <w:p w14:paraId="2E6AEE09" w14:textId="77777777" w:rsidR="0014483B" w:rsidRDefault="00312470">
            <w:pPr>
              <w:jc w:val="center"/>
              <w:rPr>
                <w:rFonts w:ascii="仿宋" w:eastAsia="仿宋" w:hAnsi="仿宋"/>
                <w:b/>
                <w:bCs/>
                <w:sz w:val="28"/>
                <w:szCs w:val="28"/>
              </w:rPr>
            </w:pPr>
            <w:r>
              <w:rPr>
                <w:rFonts w:ascii="仿宋" w:eastAsia="仿宋" w:hAnsi="仿宋" w:hint="eastAsia"/>
                <w:b/>
                <w:bCs/>
                <w:sz w:val="28"/>
                <w:szCs w:val="28"/>
              </w:rPr>
              <w:t>总体表现</w:t>
            </w:r>
          </w:p>
        </w:tc>
        <w:tc>
          <w:tcPr>
            <w:tcW w:w="1645" w:type="pct"/>
            <w:vAlign w:val="center"/>
          </w:tcPr>
          <w:p w14:paraId="573AAE51" w14:textId="77777777" w:rsidR="0014483B" w:rsidRDefault="00312470">
            <w:pPr>
              <w:jc w:val="center"/>
              <w:rPr>
                <w:rFonts w:ascii="仿宋" w:eastAsia="仿宋" w:hAnsi="仿宋"/>
                <w:b/>
                <w:bCs/>
                <w:sz w:val="28"/>
                <w:szCs w:val="28"/>
              </w:rPr>
            </w:pPr>
            <w:r>
              <w:rPr>
                <w:rFonts w:ascii="仿宋" w:eastAsia="仿宋" w:hAnsi="仿宋" w:hint="eastAsia"/>
                <w:b/>
                <w:bCs/>
                <w:sz w:val="28"/>
                <w:szCs w:val="28"/>
              </w:rPr>
              <w:t>级别符号</w:t>
            </w:r>
          </w:p>
        </w:tc>
        <w:tc>
          <w:tcPr>
            <w:tcW w:w="1866" w:type="pct"/>
            <w:vAlign w:val="center"/>
          </w:tcPr>
          <w:p w14:paraId="013E2FDC" w14:textId="77777777" w:rsidR="0014483B" w:rsidRDefault="00312470">
            <w:pPr>
              <w:jc w:val="center"/>
              <w:rPr>
                <w:rFonts w:ascii="仿宋" w:eastAsia="仿宋" w:hAnsi="仿宋"/>
                <w:b/>
                <w:bCs/>
                <w:sz w:val="28"/>
                <w:szCs w:val="28"/>
              </w:rPr>
            </w:pPr>
            <w:r>
              <w:rPr>
                <w:rFonts w:ascii="仿宋" w:eastAsia="仿宋" w:hAnsi="仿宋"/>
                <w:b/>
                <w:bCs/>
                <w:sz w:val="28"/>
                <w:szCs w:val="28"/>
              </w:rPr>
              <w:t>评价分数区间（Score）</w:t>
            </w:r>
          </w:p>
        </w:tc>
      </w:tr>
      <w:tr w:rsidR="0014483B" w14:paraId="5467544D" w14:textId="77777777">
        <w:tc>
          <w:tcPr>
            <w:tcW w:w="1489" w:type="pct"/>
            <w:vMerge w:val="restart"/>
            <w:vAlign w:val="center"/>
          </w:tcPr>
          <w:p w14:paraId="35BABF4E" w14:textId="77777777" w:rsidR="0014483B" w:rsidRDefault="00312470">
            <w:pPr>
              <w:pStyle w:val="af4"/>
              <w:ind w:firstLineChars="0" w:firstLine="0"/>
              <w:jc w:val="center"/>
              <w:rPr>
                <w:rFonts w:ascii="仿宋" w:eastAsia="仿宋" w:hAnsi="仿宋"/>
                <w:sz w:val="28"/>
                <w:szCs w:val="28"/>
              </w:rPr>
            </w:pPr>
            <w:r>
              <w:rPr>
                <w:rFonts w:ascii="仿宋" w:eastAsia="仿宋" w:hAnsi="仿宋" w:hint="eastAsia"/>
                <w:sz w:val="28"/>
                <w:szCs w:val="28"/>
              </w:rPr>
              <w:t>优秀</w:t>
            </w:r>
          </w:p>
        </w:tc>
        <w:tc>
          <w:tcPr>
            <w:tcW w:w="1645" w:type="pct"/>
            <w:vAlign w:val="center"/>
          </w:tcPr>
          <w:p w14:paraId="5849F138"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AAA</w:t>
            </w:r>
          </w:p>
        </w:tc>
        <w:tc>
          <w:tcPr>
            <w:tcW w:w="1866" w:type="pct"/>
            <w:vAlign w:val="center"/>
          </w:tcPr>
          <w:p w14:paraId="27B7E20A"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90≤Score≤100</w:t>
            </w:r>
          </w:p>
        </w:tc>
      </w:tr>
      <w:tr w:rsidR="0014483B" w14:paraId="668149FB" w14:textId="77777777">
        <w:tc>
          <w:tcPr>
            <w:tcW w:w="1489" w:type="pct"/>
            <w:vMerge/>
            <w:vAlign w:val="center"/>
          </w:tcPr>
          <w:p w14:paraId="1B19F06E" w14:textId="77777777" w:rsidR="0014483B" w:rsidRDefault="0014483B">
            <w:pPr>
              <w:pStyle w:val="af4"/>
              <w:ind w:firstLineChars="0" w:firstLine="0"/>
              <w:jc w:val="center"/>
              <w:rPr>
                <w:rFonts w:ascii="仿宋" w:eastAsia="仿宋" w:hAnsi="仿宋"/>
                <w:sz w:val="28"/>
                <w:szCs w:val="28"/>
              </w:rPr>
            </w:pPr>
          </w:p>
        </w:tc>
        <w:tc>
          <w:tcPr>
            <w:tcW w:w="1645" w:type="pct"/>
            <w:vAlign w:val="center"/>
          </w:tcPr>
          <w:p w14:paraId="4D29795D"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AA</w:t>
            </w:r>
          </w:p>
        </w:tc>
        <w:tc>
          <w:tcPr>
            <w:tcW w:w="1866" w:type="pct"/>
            <w:vAlign w:val="center"/>
          </w:tcPr>
          <w:p w14:paraId="4B21B09D"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80≤Score＜90</w:t>
            </w:r>
          </w:p>
        </w:tc>
      </w:tr>
      <w:tr w:rsidR="0014483B" w14:paraId="01A40FA1" w14:textId="77777777">
        <w:tc>
          <w:tcPr>
            <w:tcW w:w="1489" w:type="pct"/>
            <w:vMerge w:val="restart"/>
            <w:vAlign w:val="center"/>
          </w:tcPr>
          <w:p w14:paraId="08FFFEF3" w14:textId="77777777" w:rsidR="0014483B" w:rsidRDefault="00312470">
            <w:pPr>
              <w:pStyle w:val="af4"/>
              <w:ind w:firstLineChars="0" w:firstLine="0"/>
              <w:jc w:val="center"/>
              <w:rPr>
                <w:rFonts w:ascii="仿宋" w:eastAsia="仿宋" w:hAnsi="仿宋"/>
                <w:sz w:val="28"/>
                <w:szCs w:val="28"/>
              </w:rPr>
            </w:pPr>
            <w:r>
              <w:rPr>
                <w:rFonts w:ascii="仿宋" w:eastAsia="仿宋" w:hAnsi="仿宋" w:hint="eastAsia"/>
                <w:sz w:val="28"/>
                <w:szCs w:val="28"/>
              </w:rPr>
              <w:t>良好</w:t>
            </w:r>
          </w:p>
        </w:tc>
        <w:tc>
          <w:tcPr>
            <w:tcW w:w="1645" w:type="pct"/>
            <w:vAlign w:val="center"/>
          </w:tcPr>
          <w:p w14:paraId="5FE45ECE"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A</w:t>
            </w:r>
          </w:p>
        </w:tc>
        <w:tc>
          <w:tcPr>
            <w:tcW w:w="1866" w:type="pct"/>
            <w:vAlign w:val="center"/>
          </w:tcPr>
          <w:p w14:paraId="5715FD52"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70≤Score＜80</w:t>
            </w:r>
          </w:p>
        </w:tc>
      </w:tr>
      <w:tr w:rsidR="0014483B" w14:paraId="7FD2480B" w14:textId="77777777">
        <w:tc>
          <w:tcPr>
            <w:tcW w:w="1489" w:type="pct"/>
            <w:vMerge/>
            <w:vAlign w:val="center"/>
          </w:tcPr>
          <w:p w14:paraId="0DF848FE" w14:textId="77777777" w:rsidR="0014483B" w:rsidRDefault="0014483B">
            <w:pPr>
              <w:pStyle w:val="af4"/>
              <w:ind w:firstLineChars="0" w:firstLine="0"/>
              <w:jc w:val="center"/>
              <w:rPr>
                <w:rFonts w:ascii="仿宋" w:eastAsia="仿宋" w:hAnsi="仿宋"/>
                <w:sz w:val="28"/>
                <w:szCs w:val="28"/>
              </w:rPr>
            </w:pPr>
          </w:p>
        </w:tc>
        <w:tc>
          <w:tcPr>
            <w:tcW w:w="1645" w:type="pct"/>
            <w:vAlign w:val="center"/>
          </w:tcPr>
          <w:p w14:paraId="0914DFEA"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BBB</w:t>
            </w:r>
          </w:p>
        </w:tc>
        <w:tc>
          <w:tcPr>
            <w:tcW w:w="1866" w:type="pct"/>
            <w:vAlign w:val="center"/>
          </w:tcPr>
          <w:p w14:paraId="00DED65C"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60≤Score＜70</w:t>
            </w:r>
          </w:p>
        </w:tc>
      </w:tr>
      <w:tr w:rsidR="0014483B" w14:paraId="092B7BFE" w14:textId="77777777">
        <w:tc>
          <w:tcPr>
            <w:tcW w:w="1489" w:type="pct"/>
            <w:vMerge w:val="restart"/>
            <w:vAlign w:val="center"/>
          </w:tcPr>
          <w:p w14:paraId="4122D488" w14:textId="77777777" w:rsidR="0014483B" w:rsidRDefault="00312470">
            <w:pPr>
              <w:pStyle w:val="af4"/>
              <w:ind w:firstLineChars="0" w:firstLine="0"/>
              <w:jc w:val="center"/>
              <w:rPr>
                <w:rFonts w:ascii="仿宋" w:eastAsia="仿宋" w:hAnsi="仿宋"/>
                <w:sz w:val="28"/>
                <w:szCs w:val="28"/>
              </w:rPr>
            </w:pPr>
            <w:r>
              <w:rPr>
                <w:rFonts w:ascii="仿宋" w:eastAsia="仿宋" w:hAnsi="仿宋" w:hint="eastAsia"/>
                <w:sz w:val="28"/>
                <w:szCs w:val="28"/>
              </w:rPr>
              <w:t>一般</w:t>
            </w:r>
          </w:p>
        </w:tc>
        <w:tc>
          <w:tcPr>
            <w:tcW w:w="1645" w:type="pct"/>
            <w:vAlign w:val="center"/>
          </w:tcPr>
          <w:p w14:paraId="70403CD8"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BB</w:t>
            </w:r>
          </w:p>
        </w:tc>
        <w:tc>
          <w:tcPr>
            <w:tcW w:w="1866" w:type="pct"/>
            <w:vAlign w:val="center"/>
          </w:tcPr>
          <w:p w14:paraId="6B6B29B2"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50≤Score＜60</w:t>
            </w:r>
          </w:p>
        </w:tc>
      </w:tr>
      <w:tr w:rsidR="0014483B" w14:paraId="132D5F66" w14:textId="77777777">
        <w:tc>
          <w:tcPr>
            <w:tcW w:w="1489" w:type="pct"/>
            <w:vMerge/>
            <w:vAlign w:val="center"/>
          </w:tcPr>
          <w:p w14:paraId="64406928" w14:textId="77777777" w:rsidR="0014483B" w:rsidRDefault="0014483B">
            <w:pPr>
              <w:pStyle w:val="af4"/>
              <w:ind w:firstLineChars="0" w:firstLine="0"/>
              <w:jc w:val="center"/>
              <w:rPr>
                <w:rFonts w:ascii="仿宋" w:eastAsia="仿宋" w:hAnsi="仿宋"/>
                <w:sz w:val="28"/>
                <w:szCs w:val="28"/>
              </w:rPr>
            </w:pPr>
          </w:p>
        </w:tc>
        <w:tc>
          <w:tcPr>
            <w:tcW w:w="1645" w:type="pct"/>
            <w:vAlign w:val="center"/>
          </w:tcPr>
          <w:p w14:paraId="160F11FA"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B</w:t>
            </w:r>
          </w:p>
        </w:tc>
        <w:tc>
          <w:tcPr>
            <w:tcW w:w="1866" w:type="pct"/>
            <w:vAlign w:val="center"/>
          </w:tcPr>
          <w:p w14:paraId="5B31739E"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40≤Score＜50</w:t>
            </w:r>
          </w:p>
        </w:tc>
      </w:tr>
      <w:tr w:rsidR="0014483B" w14:paraId="0ECC6100" w14:textId="77777777">
        <w:tc>
          <w:tcPr>
            <w:tcW w:w="1489" w:type="pct"/>
            <w:vMerge/>
            <w:vAlign w:val="center"/>
          </w:tcPr>
          <w:p w14:paraId="4EB18E37" w14:textId="77777777" w:rsidR="0014483B" w:rsidRDefault="0014483B">
            <w:pPr>
              <w:pStyle w:val="af4"/>
              <w:ind w:firstLineChars="0" w:firstLine="0"/>
              <w:jc w:val="center"/>
              <w:rPr>
                <w:rFonts w:ascii="仿宋" w:eastAsia="仿宋" w:hAnsi="仿宋"/>
                <w:sz w:val="28"/>
                <w:szCs w:val="28"/>
              </w:rPr>
            </w:pPr>
          </w:p>
        </w:tc>
        <w:tc>
          <w:tcPr>
            <w:tcW w:w="1645" w:type="pct"/>
            <w:vAlign w:val="center"/>
          </w:tcPr>
          <w:p w14:paraId="0CA9BCBC"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CCC</w:t>
            </w:r>
          </w:p>
        </w:tc>
        <w:tc>
          <w:tcPr>
            <w:tcW w:w="1866" w:type="pct"/>
            <w:vAlign w:val="center"/>
          </w:tcPr>
          <w:p w14:paraId="66BA2939"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30≤Score＜40</w:t>
            </w:r>
          </w:p>
        </w:tc>
      </w:tr>
      <w:tr w:rsidR="0014483B" w14:paraId="18DB007E" w14:textId="77777777">
        <w:tc>
          <w:tcPr>
            <w:tcW w:w="1489" w:type="pct"/>
            <w:vMerge w:val="restart"/>
            <w:vAlign w:val="center"/>
          </w:tcPr>
          <w:p w14:paraId="51B2090D" w14:textId="77777777" w:rsidR="0014483B" w:rsidRDefault="00312470">
            <w:pPr>
              <w:pStyle w:val="af4"/>
              <w:ind w:firstLineChars="0" w:firstLine="0"/>
              <w:jc w:val="center"/>
              <w:rPr>
                <w:rFonts w:ascii="仿宋" w:eastAsia="仿宋" w:hAnsi="仿宋"/>
                <w:sz w:val="28"/>
                <w:szCs w:val="28"/>
              </w:rPr>
            </w:pPr>
            <w:r>
              <w:rPr>
                <w:rFonts w:ascii="仿宋" w:eastAsia="仿宋" w:hAnsi="仿宋" w:hint="eastAsia"/>
                <w:sz w:val="28"/>
                <w:szCs w:val="28"/>
              </w:rPr>
              <w:t>落后</w:t>
            </w:r>
          </w:p>
        </w:tc>
        <w:tc>
          <w:tcPr>
            <w:tcW w:w="1645" w:type="pct"/>
            <w:vAlign w:val="center"/>
          </w:tcPr>
          <w:p w14:paraId="36121F93"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CC</w:t>
            </w:r>
          </w:p>
        </w:tc>
        <w:tc>
          <w:tcPr>
            <w:tcW w:w="1866" w:type="pct"/>
            <w:vAlign w:val="center"/>
          </w:tcPr>
          <w:p w14:paraId="70521ACC"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20≤Score＜30</w:t>
            </w:r>
          </w:p>
        </w:tc>
      </w:tr>
      <w:tr w:rsidR="0014483B" w14:paraId="69D41C30" w14:textId="77777777">
        <w:tc>
          <w:tcPr>
            <w:tcW w:w="1489" w:type="pct"/>
            <w:vMerge/>
            <w:vAlign w:val="center"/>
          </w:tcPr>
          <w:p w14:paraId="24AEA955" w14:textId="77777777" w:rsidR="0014483B" w:rsidRDefault="0014483B">
            <w:pPr>
              <w:pStyle w:val="af4"/>
              <w:ind w:firstLineChars="0" w:firstLine="0"/>
              <w:jc w:val="center"/>
              <w:rPr>
                <w:rFonts w:ascii="仿宋" w:eastAsia="仿宋" w:hAnsi="仿宋"/>
                <w:sz w:val="28"/>
                <w:szCs w:val="28"/>
              </w:rPr>
            </w:pPr>
          </w:p>
        </w:tc>
        <w:tc>
          <w:tcPr>
            <w:tcW w:w="1645" w:type="pct"/>
            <w:vAlign w:val="center"/>
          </w:tcPr>
          <w:p w14:paraId="5BA2E743"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C</w:t>
            </w:r>
          </w:p>
        </w:tc>
        <w:tc>
          <w:tcPr>
            <w:tcW w:w="1866" w:type="pct"/>
            <w:vAlign w:val="center"/>
          </w:tcPr>
          <w:p w14:paraId="138ED6D3"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10≤Score＜20</w:t>
            </w:r>
          </w:p>
        </w:tc>
      </w:tr>
      <w:tr w:rsidR="0014483B" w14:paraId="30BA330C" w14:textId="77777777">
        <w:tc>
          <w:tcPr>
            <w:tcW w:w="1489" w:type="pct"/>
            <w:vMerge/>
            <w:vAlign w:val="center"/>
          </w:tcPr>
          <w:p w14:paraId="094A5ED8" w14:textId="77777777" w:rsidR="0014483B" w:rsidRDefault="0014483B">
            <w:pPr>
              <w:pStyle w:val="af4"/>
              <w:ind w:firstLineChars="0" w:firstLine="0"/>
              <w:jc w:val="center"/>
              <w:rPr>
                <w:rFonts w:ascii="仿宋" w:eastAsia="仿宋" w:hAnsi="仿宋"/>
                <w:sz w:val="28"/>
                <w:szCs w:val="28"/>
              </w:rPr>
            </w:pPr>
          </w:p>
        </w:tc>
        <w:tc>
          <w:tcPr>
            <w:tcW w:w="1645" w:type="pct"/>
            <w:vAlign w:val="center"/>
          </w:tcPr>
          <w:p w14:paraId="05252C2F"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D</w:t>
            </w:r>
          </w:p>
        </w:tc>
        <w:tc>
          <w:tcPr>
            <w:tcW w:w="1866" w:type="pct"/>
            <w:vAlign w:val="center"/>
          </w:tcPr>
          <w:p w14:paraId="7E1CC4E3" w14:textId="77777777" w:rsidR="0014483B" w:rsidRDefault="00312470">
            <w:pPr>
              <w:pStyle w:val="af4"/>
              <w:ind w:firstLineChars="0" w:firstLine="0"/>
              <w:jc w:val="center"/>
              <w:rPr>
                <w:rFonts w:ascii="仿宋" w:eastAsia="仿宋" w:hAnsi="仿宋"/>
                <w:sz w:val="28"/>
                <w:szCs w:val="28"/>
              </w:rPr>
            </w:pPr>
            <w:r>
              <w:rPr>
                <w:rFonts w:ascii="仿宋" w:eastAsia="仿宋" w:hAnsi="仿宋"/>
                <w:sz w:val="28"/>
                <w:szCs w:val="28"/>
              </w:rPr>
              <w:t>0≤Score＜10</w:t>
            </w:r>
          </w:p>
        </w:tc>
      </w:tr>
    </w:tbl>
    <w:p w14:paraId="7245337D" w14:textId="77777777" w:rsidR="0014483B" w:rsidRDefault="00312470">
      <w:pPr>
        <w:pStyle w:val="1"/>
      </w:pPr>
      <w:bookmarkStart w:id="18" w:name="_Toc89351215"/>
      <w:r>
        <w:rPr>
          <w:rFonts w:hint="eastAsia"/>
        </w:rPr>
        <w:t>企</w:t>
      </w:r>
      <w:r>
        <w:rPr>
          <w:rFonts w:ascii="黑体" w:hAnsi="黑体" w:cs="黑体" w:hint="eastAsia"/>
        </w:rPr>
        <w:t>业ESG</w:t>
      </w:r>
      <w:r>
        <w:rPr>
          <w:rFonts w:hint="eastAsia"/>
        </w:rPr>
        <w:t>评价指标</w:t>
      </w:r>
      <w:bookmarkEnd w:id="18"/>
    </w:p>
    <w:p w14:paraId="63D54455" w14:textId="77777777" w:rsidR="0014483B" w:rsidRDefault="00312470">
      <w:pPr>
        <w:pStyle w:val="2"/>
        <w:numPr>
          <w:ilvl w:val="0"/>
          <w:numId w:val="6"/>
        </w:numPr>
        <w:rPr>
          <w:rFonts w:ascii="楷体_GB2312" w:eastAsia="楷体_GB2312" w:hAnsi="楷体_GB2312" w:cs="楷体_GB2312"/>
          <w:b/>
          <w:bCs/>
        </w:rPr>
      </w:pPr>
      <w:bookmarkStart w:id="19" w:name="_Toc89351216"/>
      <w:r>
        <w:rPr>
          <w:rFonts w:ascii="楷体_GB2312" w:eastAsia="楷体_GB2312" w:hAnsi="楷体_GB2312" w:cs="楷体_GB2312" w:hint="eastAsia"/>
          <w:b/>
          <w:bCs/>
        </w:rPr>
        <w:t>否决项指标</w:t>
      </w:r>
      <w:bookmarkEnd w:id="19"/>
    </w:p>
    <w:p w14:paraId="07AB6FE3"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本指南从环境、社会、管治三个维度入手，全面反映被评价企业在ESG管理、ESG议题实践和ESG信息披露等方面的表现。</w:t>
      </w:r>
    </w:p>
    <w:p w14:paraId="56F0065E"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企业若存在表2中涉及的任一项否决项指标，则直接判定该企业ESG不合格。</w:t>
      </w:r>
    </w:p>
    <w:p w14:paraId="5131391C" w14:textId="77777777" w:rsidR="0014483B" w:rsidRDefault="0014483B">
      <w:pPr>
        <w:jc w:val="center"/>
        <w:rPr>
          <w:rFonts w:ascii="仿宋_GB2312" w:eastAsia="仿宋_GB2312" w:hAnsi="仿宋_GB2312" w:cs="仿宋_GB2312"/>
          <w:sz w:val="24"/>
          <w:szCs w:val="24"/>
        </w:rPr>
      </w:pPr>
    </w:p>
    <w:p w14:paraId="6868D5C4" w14:textId="77777777" w:rsidR="0014483B" w:rsidRDefault="0014483B">
      <w:pPr>
        <w:jc w:val="center"/>
        <w:rPr>
          <w:rFonts w:ascii="仿宋_GB2312" w:eastAsia="仿宋_GB2312" w:hAnsi="仿宋_GB2312" w:cs="仿宋_GB2312"/>
          <w:sz w:val="24"/>
          <w:szCs w:val="24"/>
        </w:rPr>
      </w:pPr>
    </w:p>
    <w:p w14:paraId="18DD9DF1" w14:textId="77777777" w:rsidR="0014483B" w:rsidRDefault="0014483B">
      <w:pPr>
        <w:jc w:val="center"/>
        <w:rPr>
          <w:rFonts w:ascii="仿宋_GB2312" w:eastAsia="仿宋_GB2312" w:hAnsi="仿宋_GB2312" w:cs="仿宋_GB2312"/>
          <w:sz w:val="24"/>
          <w:szCs w:val="24"/>
        </w:rPr>
      </w:pPr>
    </w:p>
    <w:p w14:paraId="0900E2F2" w14:textId="77777777" w:rsidR="0014483B" w:rsidRDefault="0014483B">
      <w:pPr>
        <w:jc w:val="center"/>
        <w:rPr>
          <w:rFonts w:ascii="仿宋_GB2312" w:eastAsia="仿宋_GB2312" w:hAnsi="仿宋_GB2312" w:cs="仿宋_GB2312"/>
          <w:sz w:val="24"/>
          <w:szCs w:val="24"/>
        </w:rPr>
      </w:pPr>
    </w:p>
    <w:p w14:paraId="020F20D4" w14:textId="77777777" w:rsidR="0014483B" w:rsidRDefault="0014483B">
      <w:pPr>
        <w:jc w:val="center"/>
        <w:rPr>
          <w:rFonts w:ascii="仿宋_GB2312" w:eastAsia="仿宋_GB2312" w:hAnsi="仿宋_GB2312" w:cs="仿宋_GB2312"/>
          <w:sz w:val="24"/>
          <w:szCs w:val="24"/>
        </w:rPr>
      </w:pPr>
    </w:p>
    <w:p w14:paraId="196B205D" w14:textId="77777777" w:rsidR="0014483B" w:rsidRDefault="0014483B">
      <w:pPr>
        <w:jc w:val="center"/>
        <w:rPr>
          <w:rFonts w:ascii="仿宋_GB2312" w:eastAsia="仿宋_GB2312" w:hAnsi="仿宋_GB2312" w:cs="仿宋_GB2312"/>
          <w:sz w:val="24"/>
          <w:szCs w:val="24"/>
        </w:rPr>
      </w:pPr>
    </w:p>
    <w:p w14:paraId="3DC53DDE" w14:textId="77777777" w:rsidR="0014483B" w:rsidRDefault="0014483B">
      <w:pPr>
        <w:jc w:val="center"/>
        <w:rPr>
          <w:rFonts w:ascii="仿宋_GB2312" w:eastAsia="仿宋_GB2312" w:hAnsi="仿宋_GB2312" w:cs="仿宋_GB2312"/>
          <w:sz w:val="24"/>
          <w:szCs w:val="24"/>
        </w:rPr>
      </w:pPr>
    </w:p>
    <w:p w14:paraId="52E35353" w14:textId="77777777" w:rsidR="0014483B" w:rsidRDefault="0031247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表 </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SEQ 表 \* ARABIC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 企业ESG评价否决项</w:t>
      </w:r>
    </w:p>
    <w:tbl>
      <w:tblPr>
        <w:tblStyle w:val="af0"/>
        <w:tblW w:w="0" w:type="auto"/>
        <w:tblLayout w:type="fixed"/>
        <w:tblLook w:val="04A0" w:firstRow="1" w:lastRow="0" w:firstColumn="1" w:lastColumn="0" w:noHBand="0" w:noVBand="1"/>
      </w:tblPr>
      <w:tblGrid>
        <w:gridCol w:w="1129"/>
        <w:gridCol w:w="2268"/>
        <w:gridCol w:w="4820"/>
      </w:tblGrid>
      <w:tr w:rsidR="0014483B" w14:paraId="3B0CC2EC" w14:textId="77777777">
        <w:trPr>
          <w:trHeight w:val="110"/>
          <w:tblHeader/>
        </w:trPr>
        <w:tc>
          <w:tcPr>
            <w:tcW w:w="1129" w:type="dxa"/>
            <w:shd w:val="clear" w:color="auto" w:fill="auto"/>
            <w:vAlign w:val="center"/>
          </w:tcPr>
          <w:p w14:paraId="760083A5"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序号</w:t>
            </w:r>
          </w:p>
        </w:tc>
        <w:tc>
          <w:tcPr>
            <w:tcW w:w="2268" w:type="dxa"/>
            <w:shd w:val="clear" w:color="auto" w:fill="auto"/>
            <w:vAlign w:val="center"/>
          </w:tcPr>
          <w:p w14:paraId="0CC751BF"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核心主题</w:t>
            </w:r>
          </w:p>
        </w:tc>
        <w:tc>
          <w:tcPr>
            <w:tcW w:w="4820" w:type="dxa"/>
            <w:shd w:val="clear" w:color="auto" w:fill="auto"/>
          </w:tcPr>
          <w:p w14:paraId="5597C927"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重点关注项</w:t>
            </w:r>
          </w:p>
        </w:tc>
      </w:tr>
      <w:tr w:rsidR="0014483B" w14:paraId="227D4901" w14:textId="77777777">
        <w:trPr>
          <w:trHeight w:val="204"/>
        </w:trPr>
        <w:tc>
          <w:tcPr>
            <w:tcW w:w="1129" w:type="dxa"/>
            <w:shd w:val="clear" w:color="auto" w:fill="auto"/>
            <w:vAlign w:val="center"/>
          </w:tcPr>
          <w:p w14:paraId="739EA4D5"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268" w:type="dxa"/>
            <w:vMerge w:val="restart"/>
            <w:shd w:val="clear" w:color="auto" w:fill="auto"/>
            <w:vAlign w:val="center"/>
          </w:tcPr>
          <w:p w14:paraId="28267C10"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环境</w:t>
            </w:r>
          </w:p>
        </w:tc>
        <w:tc>
          <w:tcPr>
            <w:tcW w:w="4820" w:type="dxa"/>
            <w:shd w:val="clear" w:color="auto" w:fill="auto"/>
          </w:tcPr>
          <w:p w14:paraId="67722EE1"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未办理环保手续</w:t>
            </w:r>
          </w:p>
        </w:tc>
      </w:tr>
      <w:tr w:rsidR="0014483B" w14:paraId="4AD84689" w14:textId="77777777">
        <w:trPr>
          <w:trHeight w:val="204"/>
        </w:trPr>
        <w:tc>
          <w:tcPr>
            <w:tcW w:w="1129" w:type="dxa"/>
            <w:shd w:val="clear" w:color="auto" w:fill="auto"/>
            <w:vAlign w:val="center"/>
          </w:tcPr>
          <w:p w14:paraId="3B6667FB"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2268" w:type="dxa"/>
            <w:vMerge/>
            <w:shd w:val="clear" w:color="auto" w:fill="auto"/>
            <w:vAlign w:val="center"/>
          </w:tcPr>
          <w:p w14:paraId="62AFDFFF" w14:textId="77777777" w:rsidR="0014483B" w:rsidRDefault="0014483B">
            <w:pPr>
              <w:jc w:val="center"/>
              <w:rPr>
                <w:rFonts w:ascii="仿宋_GB2312" w:eastAsia="仿宋_GB2312" w:hAnsi="仿宋_GB2312" w:cs="仿宋_GB2312"/>
                <w:sz w:val="28"/>
                <w:szCs w:val="28"/>
              </w:rPr>
            </w:pPr>
          </w:p>
        </w:tc>
        <w:tc>
          <w:tcPr>
            <w:tcW w:w="4820" w:type="dxa"/>
            <w:shd w:val="clear" w:color="auto" w:fill="auto"/>
          </w:tcPr>
          <w:p w14:paraId="10313559"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2年内发生污染事故</w:t>
            </w:r>
          </w:p>
        </w:tc>
      </w:tr>
      <w:tr w:rsidR="0014483B" w14:paraId="7092B6A9" w14:textId="77777777">
        <w:trPr>
          <w:trHeight w:val="299"/>
        </w:trPr>
        <w:tc>
          <w:tcPr>
            <w:tcW w:w="1129" w:type="dxa"/>
            <w:shd w:val="clear" w:color="auto" w:fill="auto"/>
            <w:vAlign w:val="center"/>
          </w:tcPr>
          <w:p w14:paraId="6616E03E"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2268" w:type="dxa"/>
            <w:vMerge w:val="restart"/>
            <w:shd w:val="clear" w:color="auto" w:fill="auto"/>
            <w:vAlign w:val="center"/>
          </w:tcPr>
          <w:p w14:paraId="16A588A3"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公平运行实践</w:t>
            </w:r>
          </w:p>
        </w:tc>
        <w:tc>
          <w:tcPr>
            <w:tcW w:w="4820" w:type="dxa"/>
            <w:shd w:val="clear" w:color="auto" w:fill="auto"/>
          </w:tcPr>
          <w:p w14:paraId="67778E15"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存在不正当竞争行为、垄断行为等 </w:t>
            </w:r>
          </w:p>
        </w:tc>
      </w:tr>
      <w:tr w:rsidR="0014483B" w14:paraId="13BEB806" w14:textId="77777777">
        <w:trPr>
          <w:trHeight w:val="299"/>
        </w:trPr>
        <w:tc>
          <w:tcPr>
            <w:tcW w:w="1129" w:type="dxa"/>
            <w:shd w:val="clear" w:color="auto" w:fill="auto"/>
            <w:vAlign w:val="center"/>
          </w:tcPr>
          <w:p w14:paraId="477654F9"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268" w:type="dxa"/>
            <w:vMerge/>
            <w:shd w:val="clear" w:color="auto" w:fill="auto"/>
            <w:vAlign w:val="center"/>
          </w:tcPr>
          <w:p w14:paraId="21A6BDBC" w14:textId="77777777" w:rsidR="0014483B" w:rsidRDefault="0014483B">
            <w:pPr>
              <w:jc w:val="center"/>
              <w:rPr>
                <w:rFonts w:ascii="仿宋_GB2312" w:eastAsia="仿宋_GB2312" w:hAnsi="仿宋_GB2312" w:cs="仿宋_GB2312"/>
                <w:sz w:val="28"/>
                <w:szCs w:val="28"/>
              </w:rPr>
            </w:pPr>
          </w:p>
        </w:tc>
        <w:tc>
          <w:tcPr>
            <w:tcW w:w="4820" w:type="dxa"/>
            <w:shd w:val="clear" w:color="auto" w:fill="auto"/>
          </w:tcPr>
          <w:p w14:paraId="14C990A5"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侵犯知识产权行为</w:t>
            </w:r>
          </w:p>
        </w:tc>
      </w:tr>
      <w:tr w:rsidR="0014483B" w14:paraId="0AE66D7D" w14:textId="77777777">
        <w:trPr>
          <w:trHeight w:val="299"/>
        </w:trPr>
        <w:tc>
          <w:tcPr>
            <w:tcW w:w="1129" w:type="dxa"/>
            <w:shd w:val="clear" w:color="auto" w:fill="auto"/>
            <w:vAlign w:val="center"/>
          </w:tcPr>
          <w:p w14:paraId="16A68CDB"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2268" w:type="dxa"/>
            <w:vMerge/>
            <w:shd w:val="clear" w:color="auto" w:fill="auto"/>
            <w:vAlign w:val="center"/>
          </w:tcPr>
          <w:p w14:paraId="0E767CC3" w14:textId="77777777" w:rsidR="0014483B" w:rsidRDefault="0014483B">
            <w:pPr>
              <w:jc w:val="center"/>
              <w:rPr>
                <w:rFonts w:ascii="仿宋_GB2312" w:eastAsia="仿宋_GB2312" w:hAnsi="仿宋_GB2312" w:cs="仿宋_GB2312"/>
                <w:sz w:val="28"/>
                <w:szCs w:val="28"/>
              </w:rPr>
            </w:pPr>
          </w:p>
        </w:tc>
        <w:tc>
          <w:tcPr>
            <w:tcW w:w="4820" w:type="dxa"/>
            <w:shd w:val="clear" w:color="auto" w:fill="auto"/>
          </w:tcPr>
          <w:p w14:paraId="729CF817"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企业或实际控制人、管理者失信行为</w:t>
            </w:r>
          </w:p>
        </w:tc>
      </w:tr>
      <w:tr w:rsidR="0014483B" w14:paraId="4130DB7A" w14:textId="77777777">
        <w:trPr>
          <w:trHeight w:val="299"/>
        </w:trPr>
        <w:tc>
          <w:tcPr>
            <w:tcW w:w="1129" w:type="dxa"/>
            <w:shd w:val="clear" w:color="auto" w:fill="auto"/>
            <w:vAlign w:val="center"/>
          </w:tcPr>
          <w:p w14:paraId="450313E0"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2268" w:type="dxa"/>
            <w:vMerge w:val="restart"/>
            <w:shd w:val="clear" w:color="auto" w:fill="auto"/>
            <w:vAlign w:val="center"/>
          </w:tcPr>
          <w:p w14:paraId="221E4C72"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员工</w:t>
            </w:r>
          </w:p>
        </w:tc>
        <w:tc>
          <w:tcPr>
            <w:tcW w:w="4820" w:type="dxa"/>
            <w:shd w:val="clear" w:color="auto" w:fill="auto"/>
          </w:tcPr>
          <w:p w14:paraId="7F67839B"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发生群体性事件等劳动者保障问题</w:t>
            </w:r>
          </w:p>
        </w:tc>
      </w:tr>
      <w:tr w:rsidR="0014483B" w14:paraId="28EAF3BA" w14:textId="77777777">
        <w:trPr>
          <w:trHeight w:val="299"/>
        </w:trPr>
        <w:tc>
          <w:tcPr>
            <w:tcW w:w="1129" w:type="dxa"/>
            <w:shd w:val="clear" w:color="auto" w:fill="auto"/>
            <w:vAlign w:val="center"/>
          </w:tcPr>
          <w:p w14:paraId="0A60AF11"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2268" w:type="dxa"/>
            <w:vMerge/>
            <w:shd w:val="clear" w:color="auto" w:fill="auto"/>
            <w:vAlign w:val="center"/>
          </w:tcPr>
          <w:p w14:paraId="3A28C730" w14:textId="77777777" w:rsidR="0014483B" w:rsidRDefault="0014483B">
            <w:pPr>
              <w:jc w:val="center"/>
              <w:rPr>
                <w:rFonts w:ascii="仿宋_GB2312" w:eastAsia="仿宋_GB2312" w:hAnsi="仿宋_GB2312" w:cs="仿宋_GB2312"/>
                <w:sz w:val="28"/>
                <w:szCs w:val="28"/>
              </w:rPr>
            </w:pPr>
          </w:p>
        </w:tc>
        <w:tc>
          <w:tcPr>
            <w:tcW w:w="4820" w:type="dxa"/>
            <w:shd w:val="clear" w:color="auto" w:fill="auto"/>
          </w:tcPr>
          <w:p w14:paraId="496E5620"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2年内发生较大生产安全事故</w:t>
            </w:r>
          </w:p>
        </w:tc>
      </w:tr>
      <w:tr w:rsidR="0014483B" w14:paraId="7A5372EB" w14:textId="77777777">
        <w:trPr>
          <w:trHeight w:val="113"/>
        </w:trPr>
        <w:tc>
          <w:tcPr>
            <w:tcW w:w="1129" w:type="dxa"/>
            <w:shd w:val="clear" w:color="auto" w:fill="auto"/>
            <w:vAlign w:val="center"/>
          </w:tcPr>
          <w:p w14:paraId="5894E1D6"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2268" w:type="dxa"/>
            <w:shd w:val="clear" w:color="auto" w:fill="auto"/>
            <w:vAlign w:val="center"/>
          </w:tcPr>
          <w:p w14:paraId="62A8C294"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消费者问题</w:t>
            </w:r>
          </w:p>
        </w:tc>
        <w:tc>
          <w:tcPr>
            <w:tcW w:w="4820" w:type="dxa"/>
            <w:shd w:val="clear" w:color="auto" w:fill="auto"/>
          </w:tcPr>
          <w:p w14:paraId="7F3DA0EC"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2年内产品或服务品质重大事故 </w:t>
            </w:r>
          </w:p>
        </w:tc>
      </w:tr>
      <w:tr w:rsidR="0014483B" w14:paraId="6C174E27" w14:textId="77777777">
        <w:trPr>
          <w:trHeight w:val="252"/>
        </w:trPr>
        <w:tc>
          <w:tcPr>
            <w:tcW w:w="1129" w:type="dxa"/>
            <w:shd w:val="clear" w:color="auto" w:fill="auto"/>
            <w:vAlign w:val="center"/>
          </w:tcPr>
          <w:p w14:paraId="6E6CA4DE"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2268" w:type="dxa"/>
            <w:shd w:val="clear" w:color="auto" w:fill="auto"/>
            <w:vAlign w:val="center"/>
          </w:tcPr>
          <w:p w14:paraId="58FDD075" w14:textId="77777777" w:rsidR="0014483B" w:rsidRDefault="0031247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信用</w:t>
            </w:r>
          </w:p>
        </w:tc>
        <w:tc>
          <w:tcPr>
            <w:tcW w:w="4820" w:type="dxa"/>
            <w:shd w:val="clear" w:color="auto" w:fill="auto"/>
          </w:tcPr>
          <w:p w14:paraId="1C33036E" w14:textId="77777777" w:rsidR="0014483B" w:rsidRDefault="00312470">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公共信用信息系统中的严重失信行为 </w:t>
            </w:r>
          </w:p>
        </w:tc>
      </w:tr>
    </w:tbl>
    <w:p w14:paraId="551E1B0A" w14:textId="77777777" w:rsidR="0014483B" w:rsidRDefault="00312470">
      <w:pPr>
        <w:pStyle w:val="2"/>
        <w:numPr>
          <w:ilvl w:val="0"/>
          <w:numId w:val="6"/>
        </w:numPr>
        <w:rPr>
          <w:rFonts w:ascii="楷体_GB2312" w:eastAsia="楷体_GB2312" w:hAnsi="楷体_GB2312" w:cs="楷体_GB2312"/>
          <w:b/>
          <w:bCs/>
        </w:rPr>
      </w:pPr>
      <w:bookmarkStart w:id="20" w:name="_Toc89351217"/>
      <w:r>
        <w:rPr>
          <w:rFonts w:ascii="楷体_GB2312" w:eastAsia="楷体_GB2312" w:hAnsi="楷体_GB2312" w:cs="楷体_GB2312" w:hint="eastAsia"/>
          <w:b/>
          <w:bCs/>
        </w:rPr>
        <w:t>评价指标体系</w:t>
      </w:r>
      <w:bookmarkEnd w:id="20"/>
    </w:p>
    <w:p w14:paraId="7F00259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本文件所规定的评价指标体系有环境、社会、管治三大领域，一级指标7项、二级指标24项。</w:t>
      </w:r>
    </w:p>
    <w:p w14:paraId="43B0408B" w14:textId="77777777" w:rsidR="0014483B" w:rsidRDefault="00312470">
      <w:pPr>
        <w:pStyle w:val="af3"/>
        <w:numPr>
          <w:ilvl w:val="0"/>
          <w:numId w:val="7"/>
        </w:numPr>
        <w:spacing w:line="58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环境领域</w:t>
      </w:r>
    </w:p>
    <w:p w14:paraId="5BA8F108"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境领域具体包括环境管理、环保实践、气候变化、生态保护、排放物、能源消耗、水资源、原材料和包装使用八项二级指标。企业环境评价的整体原则紧扣绿色发展理念，加大污染防治力度，提升资源利用效率，提升生态系统质量和稳定性，鼓励企业增强绿色发展意识、建设绿色发展体系、提升绿色发展能力。</w:t>
      </w:r>
    </w:p>
    <w:p w14:paraId="7B33A641" w14:textId="77777777" w:rsidR="0014483B" w:rsidRDefault="0014483B">
      <w:pPr>
        <w:jc w:val="center"/>
        <w:rPr>
          <w:rFonts w:ascii="仿宋_GB2312" w:eastAsia="仿宋_GB2312" w:hAnsi="仿宋_GB2312" w:cs="仿宋_GB2312"/>
          <w:sz w:val="24"/>
          <w:szCs w:val="24"/>
        </w:rPr>
      </w:pPr>
    </w:p>
    <w:p w14:paraId="077E1077" w14:textId="77777777" w:rsidR="0014483B" w:rsidRDefault="0014483B">
      <w:pPr>
        <w:jc w:val="center"/>
        <w:rPr>
          <w:rFonts w:ascii="仿宋_GB2312" w:eastAsia="仿宋_GB2312" w:hAnsi="仿宋_GB2312" w:cs="仿宋_GB2312"/>
          <w:sz w:val="24"/>
          <w:szCs w:val="24"/>
        </w:rPr>
      </w:pPr>
    </w:p>
    <w:p w14:paraId="0A4A5AA8" w14:textId="77777777" w:rsidR="0014483B" w:rsidRDefault="0014483B">
      <w:pPr>
        <w:pStyle w:val="a1"/>
      </w:pPr>
    </w:p>
    <w:p w14:paraId="6184A610" w14:textId="77777777" w:rsidR="0014483B" w:rsidRDefault="0031247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表 </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SEQ 表 \* ARABIC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 环境领域评价指标</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418"/>
        <w:gridCol w:w="850"/>
        <w:gridCol w:w="1418"/>
        <w:gridCol w:w="3121"/>
        <w:gridCol w:w="847"/>
      </w:tblGrid>
      <w:tr w:rsidR="0014483B" w14:paraId="5D019D00" w14:textId="77777777">
        <w:trPr>
          <w:tblHeader/>
        </w:trPr>
        <w:tc>
          <w:tcPr>
            <w:tcW w:w="498" w:type="pct"/>
            <w:vAlign w:val="center"/>
          </w:tcPr>
          <w:p w14:paraId="38E39525"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领域</w:t>
            </w:r>
          </w:p>
        </w:tc>
        <w:tc>
          <w:tcPr>
            <w:tcW w:w="834" w:type="pct"/>
            <w:shd w:val="clear" w:color="auto" w:fill="auto"/>
            <w:vAlign w:val="center"/>
          </w:tcPr>
          <w:p w14:paraId="0DDD8469"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一级指标</w:t>
            </w:r>
          </w:p>
        </w:tc>
        <w:tc>
          <w:tcPr>
            <w:tcW w:w="500" w:type="pct"/>
            <w:shd w:val="clear" w:color="auto" w:fill="auto"/>
            <w:vAlign w:val="center"/>
          </w:tcPr>
          <w:p w14:paraId="062D6D11"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权重</w:t>
            </w:r>
          </w:p>
        </w:tc>
        <w:tc>
          <w:tcPr>
            <w:tcW w:w="834" w:type="pct"/>
            <w:shd w:val="clear" w:color="auto" w:fill="auto"/>
            <w:vAlign w:val="center"/>
          </w:tcPr>
          <w:p w14:paraId="17BDCC24"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二级指标</w:t>
            </w:r>
          </w:p>
        </w:tc>
        <w:tc>
          <w:tcPr>
            <w:tcW w:w="1836" w:type="pct"/>
            <w:shd w:val="clear" w:color="auto" w:fill="auto"/>
            <w:vAlign w:val="center"/>
          </w:tcPr>
          <w:p w14:paraId="674D45EF"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评价内容</w:t>
            </w:r>
          </w:p>
        </w:tc>
        <w:tc>
          <w:tcPr>
            <w:tcW w:w="499" w:type="pct"/>
            <w:vAlign w:val="center"/>
          </w:tcPr>
          <w:p w14:paraId="1A80DF42"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满分</w:t>
            </w:r>
          </w:p>
        </w:tc>
      </w:tr>
      <w:tr w:rsidR="0014483B" w14:paraId="3FD09C4F" w14:textId="77777777">
        <w:tc>
          <w:tcPr>
            <w:tcW w:w="498" w:type="pct"/>
            <w:vMerge w:val="restart"/>
            <w:vAlign w:val="center"/>
          </w:tcPr>
          <w:p w14:paraId="21F0E16B"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环境</w:t>
            </w:r>
          </w:p>
        </w:tc>
        <w:tc>
          <w:tcPr>
            <w:tcW w:w="834" w:type="pct"/>
            <w:vMerge w:val="restart"/>
            <w:shd w:val="clear" w:color="auto" w:fill="auto"/>
            <w:vAlign w:val="center"/>
          </w:tcPr>
          <w:p w14:paraId="3104863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环境</w:t>
            </w:r>
          </w:p>
        </w:tc>
        <w:tc>
          <w:tcPr>
            <w:tcW w:w="500" w:type="pct"/>
            <w:vMerge w:val="restart"/>
            <w:shd w:val="clear" w:color="auto" w:fill="auto"/>
            <w:vAlign w:val="center"/>
          </w:tcPr>
          <w:p w14:paraId="159E86C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40%</w:t>
            </w:r>
          </w:p>
        </w:tc>
        <w:tc>
          <w:tcPr>
            <w:tcW w:w="834" w:type="pct"/>
            <w:shd w:val="clear" w:color="auto" w:fill="auto"/>
            <w:vAlign w:val="center"/>
          </w:tcPr>
          <w:p w14:paraId="7DA4ADF1"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环境管理</w:t>
            </w:r>
          </w:p>
        </w:tc>
        <w:tc>
          <w:tcPr>
            <w:tcW w:w="1836" w:type="pct"/>
            <w:shd w:val="clear" w:color="auto" w:fill="auto"/>
            <w:vAlign w:val="center"/>
          </w:tcPr>
          <w:p w14:paraId="31B20537"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建立环境管理组织，制定环境管理制度，进行相应计划、执行、检查、改进，建立环境风险识别机制，识别、监测和评估潜在的事故或紧急情况并采取预防措施，减少对环境影的负面影响。</w:t>
            </w:r>
          </w:p>
        </w:tc>
        <w:tc>
          <w:tcPr>
            <w:tcW w:w="499" w:type="pct"/>
            <w:vAlign w:val="center"/>
          </w:tcPr>
          <w:p w14:paraId="157EE2D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494690AB" w14:textId="77777777">
        <w:tc>
          <w:tcPr>
            <w:tcW w:w="498" w:type="pct"/>
            <w:vMerge/>
            <w:vAlign w:val="center"/>
          </w:tcPr>
          <w:p w14:paraId="41094C81"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vMerge/>
            <w:shd w:val="clear" w:color="auto" w:fill="auto"/>
            <w:vAlign w:val="center"/>
          </w:tcPr>
          <w:p w14:paraId="1CC8C77C" w14:textId="77777777" w:rsidR="0014483B" w:rsidRDefault="0014483B">
            <w:pPr>
              <w:pStyle w:val="af4"/>
              <w:ind w:firstLineChars="0" w:firstLine="0"/>
              <w:jc w:val="center"/>
              <w:rPr>
                <w:rFonts w:ascii="仿宋_GB2312" w:eastAsia="仿宋_GB2312" w:hAnsi="仿宋_GB2312" w:cs="仿宋_GB2312"/>
                <w:sz w:val="28"/>
                <w:szCs w:val="28"/>
              </w:rPr>
            </w:pPr>
          </w:p>
        </w:tc>
        <w:tc>
          <w:tcPr>
            <w:tcW w:w="500" w:type="pct"/>
            <w:vMerge/>
            <w:shd w:val="clear" w:color="auto" w:fill="auto"/>
            <w:vAlign w:val="center"/>
          </w:tcPr>
          <w:p w14:paraId="5D99929F"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shd w:val="clear" w:color="auto" w:fill="auto"/>
            <w:vAlign w:val="center"/>
          </w:tcPr>
          <w:p w14:paraId="679ACEE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环保实践</w:t>
            </w:r>
          </w:p>
        </w:tc>
        <w:tc>
          <w:tcPr>
            <w:tcW w:w="1836" w:type="pct"/>
            <w:shd w:val="clear" w:color="auto" w:fill="auto"/>
            <w:vAlign w:val="center"/>
          </w:tcPr>
          <w:p w14:paraId="39005866"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开展绿色转型，支持绿色技术研发和绿色改造，开展节能生产审核，采取节能生产措施，实施绿色办公与绿色运输政策等。</w:t>
            </w:r>
          </w:p>
        </w:tc>
        <w:tc>
          <w:tcPr>
            <w:tcW w:w="499" w:type="pct"/>
            <w:vAlign w:val="center"/>
          </w:tcPr>
          <w:p w14:paraId="5D4C0AC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7030E7E8" w14:textId="77777777">
        <w:tc>
          <w:tcPr>
            <w:tcW w:w="498" w:type="pct"/>
            <w:vMerge/>
          </w:tcPr>
          <w:p w14:paraId="3328CD2F" w14:textId="77777777" w:rsidR="0014483B" w:rsidRDefault="0014483B">
            <w:pPr>
              <w:pStyle w:val="af4"/>
              <w:ind w:firstLine="560"/>
              <w:jc w:val="center"/>
              <w:rPr>
                <w:rFonts w:ascii="仿宋_GB2312" w:eastAsia="仿宋_GB2312" w:hAnsi="仿宋_GB2312" w:cs="仿宋_GB2312"/>
                <w:sz w:val="28"/>
                <w:szCs w:val="28"/>
              </w:rPr>
            </w:pPr>
          </w:p>
        </w:tc>
        <w:tc>
          <w:tcPr>
            <w:tcW w:w="834" w:type="pct"/>
            <w:vMerge/>
            <w:shd w:val="clear" w:color="auto" w:fill="auto"/>
            <w:vAlign w:val="center"/>
          </w:tcPr>
          <w:p w14:paraId="3F544E7A" w14:textId="77777777" w:rsidR="0014483B" w:rsidRDefault="0014483B">
            <w:pPr>
              <w:pStyle w:val="af4"/>
              <w:ind w:firstLine="560"/>
              <w:jc w:val="center"/>
              <w:rPr>
                <w:rFonts w:ascii="仿宋_GB2312" w:eastAsia="仿宋_GB2312" w:hAnsi="仿宋_GB2312" w:cs="仿宋_GB2312"/>
                <w:sz w:val="28"/>
                <w:szCs w:val="28"/>
              </w:rPr>
            </w:pPr>
          </w:p>
        </w:tc>
        <w:tc>
          <w:tcPr>
            <w:tcW w:w="500" w:type="pct"/>
            <w:vMerge/>
            <w:shd w:val="clear" w:color="auto" w:fill="auto"/>
            <w:vAlign w:val="center"/>
          </w:tcPr>
          <w:p w14:paraId="20538653"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shd w:val="clear" w:color="auto" w:fill="auto"/>
            <w:vAlign w:val="center"/>
          </w:tcPr>
          <w:p w14:paraId="3F54D62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气候变化</w:t>
            </w:r>
          </w:p>
        </w:tc>
        <w:tc>
          <w:tcPr>
            <w:tcW w:w="1836" w:type="pct"/>
            <w:shd w:val="clear" w:color="auto" w:fill="auto"/>
            <w:vAlign w:val="center"/>
          </w:tcPr>
          <w:p w14:paraId="34A75767"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响应国家“碳达峰·碳中和”政策，制定企业碳达峰、碳中和目标、方案，有效披露温室气体排放数据，为降低碳排放而制定相关目标、制度，实施节能减排措施等。</w:t>
            </w:r>
          </w:p>
        </w:tc>
        <w:tc>
          <w:tcPr>
            <w:tcW w:w="499" w:type="pct"/>
            <w:vAlign w:val="center"/>
          </w:tcPr>
          <w:p w14:paraId="12D0D2B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60703838" w14:textId="77777777">
        <w:tc>
          <w:tcPr>
            <w:tcW w:w="498" w:type="pct"/>
            <w:vMerge/>
          </w:tcPr>
          <w:p w14:paraId="1F3DB448" w14:textId="77777777" w:rsidR="0014483B" w:rsidRDefault="0014483B">
            <w:pPr>
              <w:pStyle w:val="af4"/>
              <w:ind w:firstLine="560"/>
              <w:jc w:val="center"/>
              <w:rPr>
                <w:rFonts w:ascii="仿宋_GB2312" w:eastAsia="仿宋_GB2312" w:hAnsi="仿宋_GB2312" w:cs="仿宋_GB2312"/>
                <w:sz w:val="28"/>
                <w:szCs w:val="28"/>
              </w:rPr>
            </w:pPr>
          </w:p>
        </w:tc>
        <w:tc>
          <w:tcPr>
            <w:tcW w:w="834" w:type="pct"/>
            <w:vMerge/>
            <w:shd w:val="clear" w:color="auto" w:fill="auto"/>
            <w:vAlign w:val="center"/>
          </w:tcPr>
          <w:p w14:paraId="1D39F185" w14:textId="77777777" w:rsidR="0014483B" w:rsidRDefault="0014483B">
            <w:pPr>
              <w:pStyle w:val="af4"/>
              <w:ind w:firstLine="560"/>
              <w:jc w:val="center"/>
              <w:rPr>
                <w:rFonts w:ascii="仿宋_GB2312" w:eastAsia="仿宋_GB2312" w:hAnsi="仿宋_GB2312" w:cs="仿宋_GB2312"/>
                <w:sz w:val="28"/>
                <w:szCs w:val="28"/>
              </w:rPr>
            </w:pPr>
          </w:p>
        </w:tc>
        <w:tc>
          <w:tcPr>
            <w:tcW w:w="500" w:type="pct"/>
            <w:vMerge/>
            <w:shd w:val="clear" w:color="auto" w:fill="auto"/>
            <w:vAlign w:val="center"/>
          </w:tcPr>
          <w:p w14:paraId="52F33A1B"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shd w:val="clear" w:color="auto" w:fill="auto"/>
            <w:vAlign w:val="center"/>
          </w:tcPr>
          <w:p w14:paraId="5808FFE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生态保护</w:t>
            </w:r>
          </w:p>
        </w:tc>
        <w:tc>
          <w:tcPr>
            <w:tcW w:w="1836" w:type="pct"/>
            <w:shd w:val="clear" w:color="auto" w:fill="auto"/>
            <w:vAlign w:val="center"/>
          </w:tcPr>
          <w:p w14:paraId="6C4D9EC0"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识别并谨慎考虑自身活动及产品或服务可能存在的对生物多样性和生态系统服务能力的潜在消极影响，在采取有效措施预防和降低环境影响条件下开展生产运营活动等。</w:t>
            </w:r>
          </w:p>
        </w:tc>
        <w:tc>
          <w:tcPr>
            <w:tcW w:w="499" w:type="pct"/>
            <w:vAlign w:val="center"/>
          </w:tcPr>
          <w:p w14:paraId="78D00C2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4483B" w14:paraId="51746BE1" w14:textId="77777777">
        <w:tc>
          <w:tcPr>
            <w:tcW w:w="498" w:type="pct"/>
            <w:vMerge/>
          </w:tcPr>
          <w:p w14:paraId="4C29B1C2" w14:textId="77777777" w:rsidR="0014483B" w:rsidRDefault="0014483B">
            <w:pPr>
              <w:pStyle w:val="af4"/>
              <w:ind w:firstLine="560"/>
              <w:jc w:val="center"/>
              <w:rPr>
                <w:rFonts w:ascii="仿宋_GB2312" w:eastAsia="仿宋_GB2312" w:hAnsi="仿宋_GB2312" w:cs="仿宋_GB2312"/>
                <w:sz w:val="28"/>
                <w:szCs w:val="28"/>
              </w:rPr>
            </w:pPr>
          </w:p>
        </w:tc>
        <w:tc>
          <w:tcPr>
            <w:tcW w:w="834" w:type="pct"/>
            <w:vMerge/>
            <w:shd w:val="clear" w:color="auto" w:fill="auto"/>
            <w:vAlign w:val="center"/>
          </w:tcPr>
          <w:p w14:paraId="76952B27" w14:textId="77777777" w:rsidR="0014483B" w:rsidRDefault="0014483B">
            <w:pPr>
              <w:pStyle w:val="af4"/>
              <w:ind w:firstLine="560"/>
              <w:jc w:val="center"/>
              <w:rPr>
                <w:rFonts w:ascii="仿宋_GB2312" w:eastAsia="仿宋_GB2312" w:hAnsi="仿宋_GB2312" w:cs="仿宋_GB2312"/>
                <w:sz w:val="28"/>
                <w:szCs w:val="28"/>
              </w:rPr>
            </w:pPr>
          </w:p>
        </w:tc>
        <w:tc>
          <w:tcPr>
            <w:tcW w:w="500" w:type="pct"/>
            <w:vMerge/>
            <w:shd w:val="clear" w:color="auto" w:fill="auto"/>
            <w:vAlign w:val="center"/>
          </w:tcPr>
          <w:p w14:paraId="53A5628A"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shd w:val="clear" w:color="auto" w:fill="auto"/>
            <w:vAlign w:val="center"/>
          </w:tcPr>
          <w:p w14:paraId="0AC22D3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排放物</w:t>
            </w:r>
          </w:p>
        </w:tc>
        <w:tc>
          <w:tcPr>
            <w:tcW w:w="1836" w:type="pct"/>
            <w:shd w:val="clear" w:color="auto" w:fill="auto"/>
            <w:vAlign w:val="center"/>
          </w:tcPr>
          <w:p w14:paraId="564D4BBB"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测量、记录并报告废水、废气、一般固体废物、危险废物排放情况，在控制排放总量、降低排放强度等方面制定减排目标，并建立有效的管控机制和处理措施确保排放物得到安全处理、移动、储存、使用、回收或再利用和处置等。</w:t>
            </w:r>
          </w:p>
        </w:tc>
        <w:tc>
          <w:tcPr>
            <w:tcW w:w="499" w:type="pct"/>
            <w:vAlign w:val="center"/>
          </w:tcPr>
          <w:p w14:paraId="6E5F19F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r>
      <w:tr w:rsidR="0014483B" w14:paraId="3494F914" w14:textId="77777777">
        <w:tc>
          <w:tcPr>
            <w:tcW w:w="498" w:type="pct"/>
            <w:vMerge/>
          </w:tcPr>
          <w:p w14:paraId="7A5B6B7B"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vMerge/>
            <w:shd w:val="clear" w:color="auto" w:fill="auto"/>
            <w:vAlign w:val="center"/>
          </w:tcPr>
          <w:p w14:paraId="2037383C" w14:textId="77777777" w:rsidR="0014483B" w:rsidRDefault="0014483B">
            <w:pPr>
              <w:pStyle w:val="af4"/>
              <w:ind w:firstLineChars="0" w:firstLine="0"/>
              <w:jc w:val="center"/>
              <w:rPr>
                <w:rFonts w:ascii="仿宋_GB2312" w:eastAsia="仿宋_GB2312" w:hAnsi="仿宋_GB2312" w:cs="仿宋_GB2312"/>
                <w:sz w:val="28"/>
                <w:szCs w:val="28"/>
              </w:rPr>
            </w:pPr>
          </w:p>
        </w:tc>
        <w:tc>
          <w:tcPr>
            <w:tcW w:w="500" w:type="pct"/>
            <w:vMerge/>
            <w:shd w:val="clear" w:color="auto" w:fill="auto"/>
            <w:vAlign w:val="center"/>
          </w:tcPr>
          <w:p w14:paraId="017514AA"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shd w:val="clear" w:color="auto" w:fill="auto"/>
            <w:vAlign w:val="center"/>
          </w:tcPr>
          <w:p w14:paraId="03A6807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能源消耗</w:t>
            </w:r>
          </w:p>
        </w:tc>
        <w:tc>
          <w:tcPr>
            <w:tcW w:w="1836" w:type="pct"/>
            <w:shd w:val="clear" w:color="auto" w:fill="auto"/>
            <w:vAlign w:val="center"/>
          </w:tcPr>
          <w:p w14:paraId="259A6238"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有效披露能源消耗总量，制定能源效率提升目标并实施</w:t>
            </w:r>
            <w:r>
              <w:rPr>
                <w:rFonts w:ascii="仿宋_GB2312" w:eastAsia="仿宋_GB2312" w:hAnsi="仿宋_GB2312" w:cs="仿宋_GB2312" w:hint="eastAsia"/>
                <w:sz w:val="24"/>
                <w:szCs w:val="24"/>
              </w:rPr>
              <w:lastRenderedPageBreak/>
              <w:t>有效措施，鼓励使用新能源和可再生能源。</w:t>
            </w:r>
          </w:p>
        </w:tc>
        <w:tc>
          <w:tcPr>
            <w:tcW w:w="499" w:type="pct"/>
            <w:vAlign w:val="center"/>
          </w:tcPr>
          <w:p w14:paraId="2EB6C44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w:t>
            </w:r>
          </w:p>
        </w:tc>
      </w:tr>
      <w:tr w:rsidR="0014483B" w14:paraId="2626BBA3" w14:textId="77777777">
        <w:tc>
          <w:tcPr>
            <w:tcW w:w="498" w:type="pct"/>
            <w:vMerge/>
          </w:tcPr>
          <w:p w14:paraId="52243A36"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vMerge/>
            <w:shd w:val="clear" w:color="auto" w:fill="auto"/>
            <w:vAlign w:val="center"/>
          </w:tcPr>
          <w:p w14:paraId="52DA05D1" w14:textId="77777777" w:rsidR="0014483B" w:rsidRDefault="0014483B">
            <w:pPr>
              <w:pStyle w:val="af4"/>
              <w:ind w:firstLineChars="0" w:firstLine="0"/>
              <w:jc w:val="center"/>
              <w:rPr>
                <w:rFonts w:ascii="仿宋_GB2312" w:eastAsia="仿宋_GB2312" w:hAnsi="仿宋_GB2312" w:cs="仿宋_GB2312"/>
                <w:sz w:val="28"/>
                <w:szCs w:val="28"/>
              </w:rPr>
            </w:pPr>
          </w:p>
        </w:tc>
        <w:tc>
          <w:tcPr>
            <w:tcW w:w="500" w:type="pct"/>
            <w:vMerge/>
            <w:shd w:val="clear" w:color="auto" w:fill="auto"/>
            <w:vAlign w:val="center"/>
          </w:tcPr>
          <w:p w14:paraId="111DFD25"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shd w:val="clear" w:color="auto" w:fill="auto"/>
            <w:vAlign w:val="center"/>
          </w:tcPr>
          <w:p w14:paraId="46851C3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水资源</w:t>
            </w:r>
          </w:p>
        </w:tc>
        <w:tc>
          <w:tcPr>
            <w:tcW w:w="1836" w:type="pct"/>
            <w:shd w:val="clear" w:color="auto" w:fill="auto"/>
            <w:vAlign w:val="center"/>
          </w:tcPr>
          <w:p w14:paraId="7B98C837"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为水资源节约、高效利用及废水循环利用制定目标，有效实施节水措施。</w:t>
            </w:r>
          </w:p>
        </w:tc>
        <w:tc>
          <w:tcPr>
            <w:tcW w:w="499" w:type="pct"/>
            <w:vAlign w:val="center"/>
          </w:tcPr>
          <w:p w14:paraId="2F45DC72"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46722B30" w14:textId="77777777">
        <w:tc>
          <w:tcPr>
            <w:tcW w:w="498" w:type="pct"/>
            <w:vMerge/>
          </w:tcPr>
          <w:p w14:paraId="36F914DD"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vMerge/>
            <w:shd w:val="clear" w:color="auto" w:fill="auto"/>
            <w:vAlign w:val="center"/>
          </w:tcPr>
          <w:p w14:paraId="0CA2220D" w14:textId="77777777" w:rsidR="0014483B" w:rsidRDefault="0014483B">
            <w:pPr>
              <w:pStyle w:val="af4"/>
              <w:ind w:firstLineChars="0" w:firstLine="0"/>
              <w:jc w:val="center"/>
              <w:rPr>
                <w:rFonts w:ascii="仿宋_GB2312" w:eastAsia="仿宋_GB2312" w:hAnsi="仿宋_GB2312" w:cs="仿宋_GB2312"/>
                <w:sz w:val="28"/>
                <w:szCs w:val="28"/>
              </w:rPr>
            </w:pPr>
          </w:p>
        </w:tc>
        <w:tc>
          <w:tcPr>
            <w:tcW w:w="500" w:type="pct"/>
            <w:vMerge/>
            <w:shd w:val="clear" w:color="auto" w:fill="auto"/>
            <w:vAlign w:val="center"/>
          </w:tcPr>
          <w:p w14:paraId="4301164D" w14:textId="77777777" w:rsidR="0014483B" w:rsidRDefault="0014483B">
            <w:pPr>
              <w:pStyle w:val="af4"/>
              <w:ind w:firstLineChars="0" w:firstLine="0"/>
              <w:jc w:val="center"/>
              <w:rPr>
                <w:rFonts w:ascii="仿宋_GB2312" w:eastAsia="仿宋_GB2312" w:hAnsi="仿宋_GB2312" w:cs="仿宋_GB2312"/>
                <w:sz w:val="28"/>
                <w:szCs w:val="28"/>
              </w:rPr>
            </w:pPr>
          </w:p>
        </w:tc>
        <w:tc>
          <w:tcPr>
            <w:tcW w:w="834" w:type="pct"/>
            <w:shd w:val="clear" w:color="auto" w:fill="auto"/>
            <w:vAlign w:val="center"/>
          </w:tcPr>
          <w:p w14:paraId="1BC1700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原材料和包装使用</w:t>
            </w:r>
          </w:p>
        </w:tc>
        <w:tc>
          <w:tcPr>
            <w:tcW w:w="1836" w:type="pct"/>
            <w:shd w:val="clear" w:color="auto" w:fill="auto"/>
            <w:vAlign w:val="center"/>
          </w:tcPr>
          <w:p w14:paraId="66F461A9"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包装符合《固体废物污染环境防治法》等法律和相关标准的要求，取减量化包装、包装物循环利用等方式，减少包装物对环境的影响。</w:t>
            </w:r>
          </w:p>
        </w:tc>
        <w:tc>
          <w:tcPr>
            <w:tcW w:w="499" w:type="pct"/>
            <w:vAlign w:val="center"/>
          </w:tcPr>
          <w:p w14:paraId="4853806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bl>
    <w:p w14:paraId="24EFB19F" w14:textId="77777777" w:rsidR="0014483B" w:rsidRDefault="00312470">
      <w:pPr>
        <w:pStyle w:val="af3"/>
        <w:numPr>
          <w:ilvl w:val="0"/>
          <w:numId w:val="7"/>
        </w:numPr>
        <w:spacing w:line="58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社会领域</w:t>
      </w:r>
    </w:p>
    <w:p w14:paraId="1A7DEACB"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领域具体包括产品健康安全、产品质量、创新研发、劳资关系、职业发展、职业健康安全、供应链管理、社会贡献、社区服务、社区参与10个二级指标。企业社会评价的整体原则紧扣高质量发展，推动企业严把产品质量关，关爱企业员工，建设负责任供应链，勇于担当社会责任。</w:t>
      </w:r>
    </w:p>
    <w:p w14:paraId="6BA532E7" w14:textId="77777777" w:rsidR="0014483B" w:rsidRDefault="0014483B">
      <w:pPr>
        <w:jc w:val="center"/>
        <w:rPr>
          <w:rFonts w:ascii="仿宋_GB2312" w:eastAsia="仿宋_GB2312" w:hAnsi="仿宋_GB2312" w:cs="仿宋_GB2312"/>
          <w:sz w:val="24"/>
          <w:szCs w:val="24"/>
        </w:rPr>
      </w:pPr>
    </w:p>
    <w:p w14:paraId="3B9EBADC" w14:textId="77777777" w:rsidR="0014483B" w:rsidRDefault="00312470">
      <w:pPr>
        <w:jc w:val="center"/>
      </w:pPr>
      <w:r>
        <w:rPr>
          <w:rFonts w:ascii="仿宋_GB2312" w:eastAsia="仿宋_GB2312" w:hAnsi="仿宋_GB2312" w:cs="仿宋_GB2312" w:hint="eastAsia"/>
          <w:sz w:val="24"/>
          <w:szCs w:val="24"/>
        </w:rPr>
        <w:t xml:space="preserve">表 </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SEQ 表 \* ARABIC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 社会领域评价指标</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430"/>
        <w:gridCol w:w="840"/>
        <w:gridCol w:w="1389"/>
        <w:gridCol w:w="3150"/>
        <w:gridCol w:w="845"/>
      </w:tblGrid>
      <w:tr w:rsidR="0014483B" w14:paraId="548B19DE" w14:textId="77777777">
        <w:trPr>
          <w:tblHeader/>
        </w:trPr>
        <w:tc>
          <w:tcPr>
            <w:tcW w:w="497" w:type="pct"/>
            <w:tcBorders>
              <w:top w:val="single" w:sz="4" w:space="0" w:color="000000"/>
              <w:left w:val="single" w:sz="4" w:space="0" w:color="000000"/>
              <w:bottom w:val="single" w:sz="4" w:space="0" w:color="000000"/>
              <w:right w:val="single" w:sz="4" w:space="0" w:color="000000"/>
            </w:tcBorders>
            <w:vAlign w:val="center"/>
          </w:tcPr>
          <w:p w14:paraId="537355F9"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领域</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61950"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一级指标</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5BC1A"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权重</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DE11A"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二级指标</w:t>
            </w:r>
          </w:p>
        </w:tc>
        <w:tc>
          <w:tcPr>
            <w:tcW w:w="18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16A01"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评价内容</w:t>
            </w:r>
          </w:p>
        </w:tc>
        <w:tc>
          <w:tcPr>
            <w:tcW w:w="497" w:type="pct"/>
            <w:tcBorders>
              <w:top w:val="single" w:sz="4" w:space="0" w:color="000000"/>
              <w:left w:val="single" w:sz="4" w:space="0" w:color="000000"/>
              <w:bottom w:val="single" w:sz="4" w:space="0" w:color="000000"/>
              <w:right w:val="single" w:sz="4" w:space="0" w:color="000000"/>
            </w:tcBorders>
            <w:vAlign w:val="center"/>
          </w:tcPr>
          <w:p w14:paraId="247C6DC0"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满分</w:t>
            </w:r>
          </w:p>
        </w:tc>
      </w:tr>
      <w:tr w:rsidR="0014483B" w14:paraId="09D84FB1" w14:textId="77777777">
        <w:tc>
          <w:tcPr>
            <w:tcW w:w="497" w:type="pct"/>
            <w:vMerge w:val="restart"/>
            <w:vAlign w:val="center"/>
          </w:tcPr>
          <w:p w14:paraId="776C3F8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w:t>
            </w:r>
          </w:p>
        </w:tc>
        <w:tc>
          <w:tcPr>
            <w:tcW w:w="841" w:type="pct"/>
            <w:vMerge w:val="restart"/>
            <w:shd w:val="clear" w:color="auto" w:fill="auto"/>
            <w:vAlign w:val="center"/>
          </w:tcPr>
          <w:p w14:paraId="0ECEDF4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产品</w:t>
            </w:r>
          </w:p>
        </w:tc>
        <w:tc>
          <w:tcPr>
            <w:tcW w:w="494" w:type="pct"/>
            <w:vMerge w:val="restart"/>
            <w:shd w:val="clear" w:color="auto" w:fill="auto"/>
            <w:vAlign w:val="center"/>
          </w:tcPr>
          <w:p w14:paraId="3157DB7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11.5%</w:t>
            </w:r>
          </w:p>
        </w:tc>
        <w:tc>
          <w:tcPr>
            <w:tcW w:w="817" w:type="pct"/>
            <w:shd w:val="clear" w:color="auto" w:fill="auto"/>
            <w:vAlign w:val="center"/>
          </w:tcPr>
          <w:p w14:paraId="128C359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产品健康安全</w:t>
            </w:r>
          </w:p>
        </w:tc>
        <w:tc>
          <w:tcPr>
            <w:tcW w:w="1852" w:type="pct"/>
            <w:shd w:val="clear" w:color="auto" w:fill="auto"/>
            <w:vAlign w:val="center"/>
          </w:tcPr>
          <w:p w14:paraId="27EF7F0D"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降低产品、服务全生命周期中的潜在风险与危害，为消费者提供健康、安全的产品及服务。</w:t>
            </w:r>
          </w:p>
        </w:tc>
        <w:tc>
          <w:tcPr>
            <w:tcW w:w="497" w:type="pct"/>
            <w:vAlign w:val="center"/>
          </w:tcPr>
          <w:p w14:paraId="29E9CFD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23DC3982" w14:textId="77777777">
        <w:tc>
          <w:tcPr>
            <w:tcW w:w="497" w:type="pct"/>
            <w:vMerge/>
          </w:tcPr>
          <w:p w14:paraId="4A75FD2F"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shd w:val="clear" w:color="auto" w:fill="auto"/>
            <w:vAlign w:val="center"/>
          </w:tcPr>
          <w:p w14:paraId="2B7EE3A5" w14:textId="77777777" w:rsidR="0014483B" w:rsidRDefault="0014483B">
            <w:pPr>
              <w:pStyle w:val="af4"/>
              <w:ind w:firstLineChars="0" w:firstLine="0"/>
              <w:jc w:val="center"/>
              <w:rPr>
                <w:rFonts w:ascii="仿宋_GB2312" w:eastAsia="仿宋_GB2312" w:hAnsi="仿宋_GB2312" w:cs="仿宋_GB2312"/>
                <w:sz w:val="28"/>
                <w:szCs w:val="28"/>
              </w:rPr>
            </w:pPr>
          </w:p>
        </w:tc>
        <w:tc>
          <w:tcPr>
            <w:tcW w:w="494" w:type="pct"/>
            <w:vMerge/>
            <w:shd w:val="clear" w:color="auto" w:fill="auto"/>
            <w:vAlign w:val="center"/>
          </w:tcPr>
          <w:p w14:paraId="3DEFF62D" w14:textId="77777777" w:rsidR="0014483B" w:rsidRDefault="0014483B">
            <w:pPr>
              <w:pStyle w:val="af4"/>
              <w:ind w:firstLineChars="0" w:firstLine="0"/>
              <w:jc w:val="center"/>
              <w:rPr>
                <w:rFonts w:ascii="仿宋_GB2312" w:eastAsia="仿宋_GB2312" w:hAnsi="仿宋_GB2312" w:cs="仿宋_GB2312"/>
                <w:sz w:val="28"/>
                <w:szCs w:val="28"/>
              </w:rPr>
            </w:pPr>
          </w:p>
        </w:tc>
        <w:tc>
          <w:tcPr>
            <w:tcW w:w="817" w:type="pct"/>
            <w:shd w:val="clear" w:color="auto" w:fill="auto"/>
            <w:vAlign w:val="center"/>
          </w:tcPr>
          <w:p w14:paraId="39C3EFE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产品质量</w:t>
            </w:r>
          </w:p>
        </w:tc>
        <w:tc>
          <w:tcPr>
            <w:tcW w:w="1852" w:type="pct"/>
            <w:shd w:val="clear" w:color="auto" w:fill="auto"/>
            <w:vAlign w:val="center"/>
          </w:tcPr>
          <w:p w14:paraId="2CD6EBF9"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建立完善的产品质量管理体系，对产品、服务质量进行监督与评估，提升产品合格率，并对产品、服务进行持续改进和优化，不断提高产品、服务质量与消费者体验。</w:t>
            </w:r>
          </w:p>
        </w:tc>
        <w:tc>
          <w:tcPr>
            <w:tcW w:w="497" w:type="pct"/>
            <w:vAlign w:val="center"/>
          </w:tcPr>
          <w:p w14:paraId="4C2789BF"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3059A003" w14:textId="77777777">
        <w:trPr>
          <w:trHeight w:val="1536"/>
        </w:trPr>
        <w:tc>
          <w:tcPr>
            <w:tcW w:w="497" w:type="pct"/>
            <w:vMerge/>
          </w:tcPr>
          <w:p w14:paraId="5296F0E4"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shd w:val="clear" w:color="auto" w:fill="auto"/>
            <w:vAlign w:val="center"/>
          </w:tcPr>
          <w:p w14:paraId="03A42B4E" w14:textId="77777777" w:rsidR="0014483B" w:rsidRDefault="0014483B">
            <w:pPr>
              <w:pStyle w:val="af4"/>
              <w:ind w:firstLineChars="0" w:firstLine="0"/>
              <w:jc w:val="center"/>
              <w:rPr>
                <w:rFonts w:ascii="仿宋_GB2312" w:eastAsia="仿宋_GB2312" w:hAnsi="仿宋_GB2312" w:cs="仿宋_GB2312"/>
                <w:sz w:val="28"/>
                <w:szCs w:val="28"/>
              </w:rPr>
            </w:pPr>
          </w:p>
        </w:tc>
        <w:tc>
          <w:tcPr>
            <w:tcW w:w="494" w:type="pct"/>
            <w:vMerge/>
            <w:shd w:val="clear" w:color="auto" w:fill="auto"/>
            <w:vAlign w:val="center"/>
          </w:tcPr>
          <w:p w14:paraId="4C1E05F5" w14:textId="77777777" w:rsidR="0014483B" w:rsidRDefault="0014483B">
            <w:pPr>
              <w:pStyle w:val="af4"/>
              <w:ind w:firstLineChars="0" w:firstLine="0"/>
              <w:jc w:val="center"/>
              <w:rPr>
                <w:rFonts w:ascii="仿宋_GB2312" w:eastAsia="仿宋_GB2312" w:hAnsi="仿宋_GB2312" w:cs="仿宋_GB2312"/>
                <w:sz w:val="28"/>
                <w:szCs w:val="28"/>
              </w:rPr>
            </w:pPr>
          </w:p>
        </w:tc>
        <w:tc>
          <w:tcPr>
            <w:tcW w:w="817" w:type="pct"/>
            <w:shd w:val="clear" w:color="auto" w:fill="auto"/>
            <w:vAlign w:val="center"/>
          </w:tcPr>
          <w:p w14:paraId="36D771C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创新研发</w:t>
            </w:r>
          </w:p>
        </w:tc>
        <w:tc>
          <w:tcPr>
            <w:tcW w:w="1852" w:type="pct"/>
            <w:shd w:val="clear" w:color="auto" w:fill="auto"/>
            <w:vAlign w:val="center"/>
          </w:tcPr>
          <w:p w14:paraId="0235B199"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建立研发创新制度、激励机制，保障创新研发资金投入比例，开展人才队伍建设、研发硬件建设等提高创新能力的相关工作。</w:t>
            </w:r>
          </w:p>
        </w:tc>
        <w:tc>
          <w:tcPr>
            <w:tcW w:w="497" w:type="pct"/>
            <w:vAlign w:val="center"/>
          </w:tcPr>
          <w:p w14:paraId="60EAF22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r w:rsidR="0014483B" w14:paraId="11F7A0E6" w14:textId="77777777">
        <w:tc>
          <w:tcPr>
            <w:tcW w:w="497" w:type="pct"/>
            <w:vMerge/>
          </w:tcPr>
          <w:p w14:paraId="795C60A3"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val="restart"/>
            <w:shd w:val="clear" w:color="auto" w:fill="auto"/>
            <w:vAlign w:val="center"/>
          </w:tcPr>
          <w:p w14:paraId="67F44D5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员工</w:t>
            </w:r>
          </w:p>
        </w:tc>
        <w:tc>
          <w:tcPr>
            <w:tcW w:w="494" w:type="pct"/>
            <w:vMerge w:val="restart"/>
            <w:shd w:val="clear" w:color="auto" w:fill="auto"/>
            <w:vAlign w:val="center"/>
          </w:tcPr>
          <w:p w14:paraId="2247F3D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817" w:type="pct"/>
            <w:shd w:val="clear" w:color="auto" w:fill="auto"/>
            <w:vAlign w:val="center"/>
          </w:tcPr>
          <w:p w14:paraId="3D61AAB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劳资关系</w:t>
            </w:r>
          </w:p>
        </w:tc>
        <w:tc>
          <w:tcPr>
            <w:tcW w:w="1852" w:type="pct"/>
            <w:shd w:val="clear" w:color="auto" w:fill="auto"/>
            <w:vAlign w:val="center"/>
          </w:tcPr>
          <w:p w14:paraId="66DFDA44"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在招聘和雇佣过程保障所有员工机会平等，禁止任何形式的歧视，遵守法律法规规定的劳动者年龄、工作时间、薪酬福利标准。</w:t>
            </w:r>
          </w:p>
        </w:tc>
        <w:tc>
          <w:tcPr>
            <w:tcW w:w="497" w:type="pct"/>
            <w:vAlign w:val="center"/>
          </w:tcPr>
          <w:p w14:paraId="34C5591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2CC020E4" w14:textId="77777777">
        <w:tc>
          <w:tcPr>
            <w:tcW w:w="497" w:type="pct"/>
            <w:vMerge/>
          </w:tcPr>
          <w:p w14:paraId="63E44D5A"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shd w:val="clear" w:color="auto" w:fill="auto"/>
            <w:vAlign w:val="center"/>
          </w:tcPr>
          <w:p w14:paraId="48785F92" w14:textId="77777777" w:rsidR="0014483B" w:rsidRDefault="0014483B">
            <w:pPr>
              <w:pStyle w:val="af4"/>
              <w:ind w:firstLineChars="0" w:firstLine="0"/>
              <w:jc w:val="center"/>
              <w:rPr>
                <w:rFonts w:ascii="仿宋_GB2312" w:eastAsia="仿宋_GB2312" w:hAnsi="仿宋_GB2312" w:cs="仿宋_GB2312"/>
                <w:sz w:val="28"/>
                <w:szCs w:val="28"/>
              </w:rPr>
            </w:pPr>
          </w:p>
        </w:tc>
        <w:tc>
          <w:tcPr>
            <w:tcW w:w="494" w:type="pct"/>
            <w:vMerge/>
            <w:shd w:val="clear" w:color="auto" w:fill="auto"/>
            <w:vAlign w:val="center"/>
          </w:tcPr>
          <w:p w14:paraId="4CF730C4" w14:textId="77777777" w:rsidR="0014483B" w:rsidRDefault="0014483B">
            <w:pPr>
              <w:pStyle w:val="af4"/>
              <w:ind w:firstLineChars="0" w:firstLine="0"/>
              <w:jc w:val="center"/>
              <w:rPr>
                <w:rFonts w:ascii="仿宋_GB2312" w:eastAsia="仿宋_GB2312" w:hAnsi="仿宋_GB2312" w:cs="仿宋_GB2312"/>
                <w:sz w:val="28"/>
                <w:szCs w:val="28"/>
              </w:rPr>
            </w:pPr>
          </w:p>
        </w:tc>
        <w:tc>
          <w:tcPr>
            <w:tcW w:w="817" w:type="pct"/>
            <w:shd w:val="clear" w:color="auto" w:fill="auto"/>
            <w:vAlign w:val="center"/>
          </w:tcPr>
          <w:p w14:paraId="4216A90B"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职业发展</w:t>
            </w:r>
          </w:p>
        </w:tc>
        <w:tc>
          <w:tcPr>
            <w:tcW w:w="1852" w:type="pct"/>
            <w:shd w:val="clear" w:color="auto" w:fill="auto"/>
            <w:vAlign w:val="center"/>
          </w:tcPr>
          <w:p w14:paraId="7A5FDCAA"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制定完善的职业发展和晋升通道，支持员工获得专业技能方面的培训。</w:t>
            </w:r>
          </w:p>
        </w:tc>
        <w:tc>
          <w:tcPr>
            <w:tcW w:w="497" w:type="pct"/>
            <w:vAlign w:val="center"/>
          </w:tcPr>
          <w:p w14:paraId="4AA1658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00FBBE5A" w14:textId="77777777">
        <w:tc>
          <w:tcPr>
            <w:tcW w:w="497" w:type="pct"/>
            <w:vMerge/>
          </w:tcPr>
          <w:p w14:paraId="61BA9D8C"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shd w:val="clear" w:color="auto" w:fill="auto"/>
            <w:vAlign w:val="center"/>
          </w:tcPr>
          <w:p w14:paraId="4F3AF214" w14:textId="77777777" w:rsidR="0014483B" w:rsidRDefault="0014483B">
            <w:pPr>
              <w:pStyle w:val="af4"/>
              <w:ind w:firstLineChars="0" w:firstLine="0"/>
              <w:jc w:val="center"/>
              <w:rPr>
                <w:rFonts w:ascii="仿宋_GB2312" w:eastAsia="仿宋_GB2312" w:hAnsi="仿宋_GB2312" w:cs="仿宋_GB2312"/>
                <w:sz w:val="28"/>
                <w:szCs w:val="28"/>
              </w:rPr>
            </w:pPr>
          </w:p>
        </w:tc>
        <w:tc>
          <w:tcPr>
            <w:tcW w:w="494" w:type="pct"/>
            <w:vMerge/>
            <w:shd w:val="clear" w:color="auto" w:fill="auto"/>
            <w:vAlign w:val="center"/>
          </w:tcPr>
          <w:p w14:paraId="2365CA86" w14:textId="77777777" w:rsidR="0014483B" w:rsidRDefault="0014483B">
            <w:pPr>
              <w:pStyle w:val="af4"/>
              <w:ind w:firstLineChars="0" w:firstLine="0"/>
              <w:jc w:val="center"/>
              <w:rPr>
                <w:rFonts w:ascii="仿宋_GB2312" w:eastAsia="仿宋_GB2312" w:hAnsi="仿宋_GB2312" w:cs="仿宋_GB2312"/>
                <w:sz w:val="28"/>
                <w:szCs w:val="28"/>
              </w:rPr>
            </w:pPr>
          </w:p>
        </w:tc>
        <w:tc>
          <w:tcPr>
            <w:tcW w:w="817" w:type="pct"/>
            <w:shd w:val="clear" w:color="auto" w:fill="auto"/>
            <w:vAlign w:val="center"/>
          </w:tcPr>
          <w:p w14:paraId="131747A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职业健康安全</w:t>
            </w:r>
          </w:p>
        </w:tc>
        <w:tc>
          <w:tcPr>
            <w:tcW w:w="1852" w:type="pct"/>
            <w:shd w:val="clear" w:color="auto" w:fill="auto"/>
            <w:vAlign w:val="center"/>
          </w:tcPr>
          <w:p w14:paraId="7F259F3F"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制定、实施并持续改进符合法律规定和企业机构自身特点的职业健康安全管理体系，真实准确披露员工年度工伤、工亡情况。</w:t>
            </w:r>
          </w:p>
        </w:tc>
        <w:tc>
          <w:tcPr>
            <w:tcW w:w="497" w:type="pct"/>
            <w:vAlign w:val="center"/>
          </w:tcPr>
          <w:p w14:paraId="615B273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641EEE0A" w14:textId="77777777">
        <w:tc>
          <w:tcPr>
            <w:tcW w:w="497" w:type="pct"/>
            <w:vMerge/>
          </w:tcPr>
          <w:p w14:paraId="54C2289C"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shd w:val="clear" w:color="auto" w:fill="auto"/>
            <w:vAlign w:val="center"/>
          </w:tcPr>
          <w:p w14:paraId="379CBF11"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供应链</w:t>
            </w:r>
          </w:p>
        </w:tc>
        <w:tc>
          <w:tcPr>
            <w:tcW w:w="494" w:type="pct"/>
            <w:shd w:val="clear" w:color="auto" w:fill="auto"/>
            <w:vAlign w:val="center"/>
          </w:tcPr>
          <w:p w14:paraId="135ABEA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c>
          <w:tcPr>
            <w:tcW w:w="817" w:type="pct"/>
            <w:shd w:val="clear" w:color="auto" w:fill="auto"/>
            <w:vAlign w:val="center"/>
          </w:tcPr>
          <w:p w14:paraId="1B51C1F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供应链管理</w:t>
            </w:r>
          </w:p>
        </w:tc>
        <w:tc>
          <w:tcPr>
            <w:tcW w:w="1852" w:type="pct"/>
            <w:shd w:val="clear" w:color="auto" w:fill="auto"/>
            <w:vAlign w:val="center"/>
          </w:tcPr>
          <w:p w14:paraId="2A8B401B"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建立供应商ESG的管理、评价和监测程序，将ESG要求纳入到供应商考核与日常管理中，保障供应商的行为符合ESG标准并持续改善，建立绿色采购政策。</w:t>
            </w:r>
          </w:p>
        </w:tc>
        <w:tc>
          <w:tcPr>
            <w:tcW w:w="497" w:type="pct"/>
            <w:vAlign w:val="center"/>
          </w:tcPr>
          <w:p w14:paraId="3B270CB2"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r w:rsidR="0014483B" w14:paraId="294C9739" w14:textId="77777777">
        <w:tc>
          <w:tcPr>
            <w:tcW w:w="497" w:type="pct"/>
            <w:vMerge/>
          </w:tcPr>
          <w:p w14:paraId="119EEC9F"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val="restart"/>
            <w:shd w:val="clear" w:color="auto" w:fill="auto"/>
            <w:vAlign w:val="center"/>
          </w:tcPr>
          <w:p w14:paraId="18E8545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社区</w:t>
            </w:r>
          </w:p>
        </w:tc>
        <w:tc>
          <w:tcPr>
            <w:tcW w:w="494" w:type="pct"/>
            <w:vMerge w:val="restart"/>
            <w:shd w:val="clear" w:color="auto" w:fill="auto"/>
            <w:vAlign w:val="center"/>
          </w:tcPr>
          <w:p w14:paraId="23F7AF5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817" w:type="pct"/>
            <w:shd w:val="clear" w:color="auto" w:fill="auto"/>
            <w:vAlign w:val="center"/>
          </w:tcPr>
          <w:p w14:paraId="700EAFD6"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社会贡献</w:t>
            </w:r>
          </w:p>
        </w:tc>
        <w:tc>
          <w:tcPr>
            <w:tcW w:w="1852" w:type="pct"/>
            <w:shd w:val="clear" w:color="auto" w:fill="auto"/>
            <w:vAlign w:val="center"/>
          </w:tcPr>
          <w:p w14:paraId="7E7CA205"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积极响应国家重大战略，如巩固脱贫攻坚成果、乡村振兴等。</w:t>
            </w:r>
          </w:p>
        </w:tc>
        <w:tc>
          <w:tcPr>
            <w:tcW w:w="497" w:type="pct"/>
            <w:vAlign w:val="center"/>
          </w:tcPr>
          <w:p w14:paraId="0E608EA2"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14483B" w14:paraId="7C04EC96" w14:textId="77777777">
        <w:tc>
          <w:tcPr>
            <w:tcW w:w="497" w:type="pct"/>
            <w:vMerge/>
          </w:tcPr>
          <w:p w14:paraId="7A522C49"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shd w:val="clear" w:color="auto" w:fill="auto"/>
            <w:vAlign w:val="center"/>
          </w:tcPr>
          <w:p w14:paraId="3D79F0C5" w14:textId="77777777" w:rsidR="0014483B" w:rsidRDefault="0014483B">
            <w:pPr>
              <w:pStyle w:val="af4"/>
              <w:ind w:firstLineChars="0" w:firstLine="0"/>
              <w:jc w:val="center"/>
              <w:rPr>
                <w:rFonts w:ascii="仿宋_GB2312" w:eastAsia="仿宋_GB2312" w:hAnsi="仿宋_GB2312" w:cs="仿宋_GB2312"/>
                <w:sz w:val="28"/>
                <w:szCs w:val="28"/>
              </w:rPr>
            </w:pPr>
          </w:p>
        </w:tc>
        <w:tc>
          <w:tcPr>
            <w:tcW w:w="494" w:type="pct"/>
            <w:vMerge/>
            <w:shd w:val="clear" w:color="auto" w:fill="auto"/>
            <w:vAlign w:val="center"/>
          </w:tcPr>
          <w:p w14:paraId="0A167FF9" w14:textId="77777777" w:rsidR="0014483B" w:rsidRDefault="0014483B">
            <w:pPr>
              <w:pStyle w:val="af4"/>
              <w:ind w:firstLineChars="0" w:firstLine="0"/>
              <w:jc w:val="center"/>
              <w:rPr>
                <w:rFonts w:ascii="仿宋_GB2312" w:eastAsia="仿宋_GB2312" w:hAnsi="仿宋_GB2312" w:cs="仿宋_GB2312"/>
                <w:sz w:val="28"/>
                <w:szCs w:val="28"/>
              </w:rPr>
            </w:pPr>
          </w:p>
        </w:tc>
        <w:tc>
          <w:tcPr>
            <w:tcW w:w="817" w:type="pct"/>
            <w:shd w:val="clear" w:color="auto" w:fill="auto"/>
            <w:vAlign w:val="center"/>
          </w:tcPr>
          <w:p w14:paraId="1C38351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社区服务</w:t>
            </w:r>
          </w:p>
        </w:tc>
        <w:tc>
          <w:tcPr>
            <w:tcW w:w="1852" w:type="pct"/>
            <w:shd w:val="clear" w:color="auto" w:fill="auto"/>
            <w:vAlign w:val="center"/>
          </w:tcPr>
          <w:p w14:paraId="3359B80E"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发挥自身资源、技术等方面的优势，在教育文体、医疗健康、环境保护、基础设施、扶贫赈灾等方面为社区提供力所能及的支持和帮助。</w:t>
            </w:r>
          </w:p>
        </w:tc>
        <w:tc>
          <w:tcPr>
            <w:tcW w:w="497" w:type="pct"/>
            <w:vAlign w:val="center"/>
          </w:tcPr>
          <w:p w14:paraId="13F6BED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r w:rsidR="0014483B" w14:paraId="2470D607" w14:textId="77777777">
        <w:tc>
          <w:tcPr>
            <w:tcW w:w="497" w:type="pct"/>
            <w:vMerge/>
          </w:tcPr>
          <w:p w14:paraId="63F5418F" w14:textId="77777777" w:rsidR="0014483B" w:rsidRDefault="0014483B">
            <w:pPr>
              <w:pStyle w:val="af4"/>
              <w:ind w:firstLineChars="0" w:firstLine="0"/>
              <w:jc w:val="center"/>
              <w:rPr>
                <w:rFonts w:ascii="仿宋_GB2312" w:eastAsia="仿宋_GB2312" w:hAnsi="仿宋_GB2312" w:cs="仿宋_GB2312"/>
                <w:sz w:val="28"/>
                <w:szCs w:val="28"/>
              </w:rPr>
            </w:pPr>
          </w:p>
        </w:tc>
        <w:tc>
          <w:tcPr>
            <w:tcW w:w="841" w:type="pct"/>
            <w:vMerge/>
            <w:shd w:val="clear" w:color="auto" w:fill="auto"/>
            <w:vAlign w:val="center"/>
          </w:tcPr>
          <w:p w14:paraId="52E0E995" w14:textId="77777777" w:rsidR="0014483B" w:rsidRDefault="0014483B">
            <w:pPr>
              <w:pStyle w:val="af4"/>
              <w:ind w:firstLineChars="0" w:firstLine="0"/>
              <w:jc w:val="center"/>
              <w:rPr>
                <w:rFonts w:ascii="仿宋_GB2312" w:eastAsia="仿宋_GB2312" w:hAnsi="仿宋_GB2312" w:cs="仿宋_GB2312"/>
                <w:sz w:val="28"/>
                <w:szCs w:val="28"/>
              </w:rPr>
            </w:pPr>
          </w:p>
        </w:tc>
        <w:tc>
          <w:tcPr>
            <w:tcW w:w="494" w:type="pct"/>
            <w:vMerge/>
            <w:shd w:val="clear" w:color="auto" w:fill="auto"/>
            <w:vAlign w:val="center"/>
          </w:tcPr>
          <w:p w14:paraId="196DE2C8" w14:textId="77777777" w:rsidR="0014483B" w:rsidRDefault="0014483B">
            <w:pPr>
              <w:pStyle w:val="af4"/>
              <w:ind w:firstLineChars="0" w:firstLine="0"/>
              <w:jc w:val="center"/>
              <w:rPr>
                <w:rFonts w:ascii="仿宋_GB2312" w:eastAsia="仿宋_GB2312" w:hAnsi="仿宋_GB2312" w:cs="仿宋_GB2312"/>
                <w:sz w:val="28"/>
                <w:szCs w:val="28"/>
              </w:rPr>
            </w:pPr>
          </w:p>
        </w:tc>
        <w:tc>
          <w:tcPr>
            <w:tcW w:w="817" w:type="pct"/>
            <w:shd w:val="clear" w:color="auto" w:fill="auto"/>
            <w:vAlign w:val="center"/>
          </w:tcPr>
          <w:p w14:paraId="27A1CA7B"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社区参与</w:t>
            </w:r>
          </w:p>
        </w:tc>
        <w:tc>
          <w:tcPr>
            <w:tcW w:w="1852" w:type="pct"/>
            <w:shd w:val="clear" w:color="auto" w:fill="auto"/>
            <w:vAlign w:val="center"/>
          </w:tcPr>
          <w:p w14:paraId="04E19087"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积极服务当地社区，为当地社区创造就业机会，在当地社区开展采购，支持当地社区公共基础设施建设。</w:t>
            </w:r>
          </w:p>
        </w:tc>
        <w:tc>
          <w:tcPr>
            <w:tcW w:w="497" w:type="pct"/>
            <w:vAlign w:val="center"/>
          </w:tcPr>
          <w:p w14:paraId="5C72353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bl>
    <w:p w14:paraId="17CF89DC" w14:textId="77777777" w:rsidR="0014483B" w:rsidRDefault="00312470">
      <w:pPr>
        <w:pStyle w:val="af3"/>
        <w:numPr>
          <w:ilvl w:val="0"/>
          <w:numId w:val="7"/>
        </w:numPr>
        <w:spacing w:line="588"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管治领域</w:t>
      </w:r>
    </w:p>
    <w:p w14:paraId="0FE8830F" w14:textId="77777777" w:rsidR="0014483B" w:rsidRDefault="00312470">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管治领域具体包括ESG规划、ESG沟通、ESG能力、董事会、管治、商业道德6个二级指标。企业管治评价的整体原则紧扣建设现代化的企业治理体系，推动企业提升治理能力，将ESG理念融入企业经营管理全过程。</w:t>
      </w:r>
    </w:p>
    <w:p w14:paraId="65F88A86" w14:textId="77777777" w:rsidR="0014483B" w:rsidRDefault="0014483B">
      <w:pPr>
        <w:jc w:val="center"/>
        <w:rPr>
          <w:rFonts w:ascii="仿宋_GB2312" w:eastAsia="仿宋_GB2312" w:hAnsi="仿宋_GB2312" w:cs="仿宋_GB2312"/>
          <w:sz w:val="24"/>
          <w:szCs w:val="24"/>
        </w:rPr>
      </w:pPr>
    </w:p>
    <w:p w14:paraId="0AE719BD" w14:textId="77777777" w:rsidR="0014483B" w:rsidRDefault="00312470">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表 </w:t>
      </w: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SEQ 表 \* ARABIC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fldChar w:fldCharType="end"/>
      </w:r>
      <w:r>
        <w:rPr>
          <w:rFonts w:ascii="仿宋_GB2312" w:eastAsia="仿宋_GB2312" w:hAnsi="仿宋_GB2312" w:cs="仿宋_GB2312" w:hint="eastAsia"/>
          <w:sz w:val="24"/>
          <w:szCs w:val="24"/>
        </w:rPr>
        <w:t xml:space="preserve"> 管治领域评价指标</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436"/>
        <w:gridCol w:w="835"/>
        <w:gridCol w:w="1394"/>
        <w:gridCol w:w="3143"/>
        <w:gridCol w:w="848"/>
      </w:tblGrid>
      <w:tr w:rsidR="0014483B" w14:paraId="2EC334E3" w14:textId="77777777">
        <w:trPr>
          <w:tblHeader/>
        </w:trPr>
        <w:tc>
          <w:tcPr>
            <w:tcW w:w="496" w:type="pct"/>
            <w:tcBorders>
              <w:top w:val="single" w:sz="4" w:space="0" w:color="000000"/>
              <w:left w:val="single" w:sz="4" w:space="0" w:color="000000"/>
              <w:bottom w:val="single" w:sz="4" w:space="0" w:color="000000"/>
              <w:right w:val="single" w:sz="4" w:space="0" w:color="000000"/>
            </w:tcBorders>
            <w:vAlign w:val="center"/>
          </w:tcPr>
          <w:p w14:paraId="5ED32014"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领域</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296D9"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一级指标</w:t>
            </w:r>
          </w:p>
        </w:tc>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1FF24"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权重</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5C8AA"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二级指标</w:t>
            </w:r>
          </w:p>
        </w:tc>
        <w:tc>
          <w:tcPr>
            <w:tcW w:w="18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011A0"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评价内容</w:t>
            </w:r>
          </w:p>
        </w:tc>
        <w:tc>
          <w:tcPr>
            <w:tcW w:w="499" w:type="pct"/>
            <w:tcBorders>
              <w:top w:val="single" w:sz="4" w:space="0" w:color="000000"/>
              <w:left w:val="single" w:sz="4" w:space="0" w:color="000000"/>
              <w:bottom w:val="single" w:sz="4" w:space="0" w:color="000000"/>
              <w:right w:val="single" w:sz="4" w:space="0" w:color="000000"/>
            </w:tcBorders>
            <w:vAlign w:val="center"/>
          </w:tcPr>
          <w:p w14:paraId="2DE113D9"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满分</w:t>
            </w:r>
          </w:p>
        </w:tc>
      </w:tr>
      <w:tr w:rsidR="0014483B" w14:paraId="26BDA9BE" w14:textId="77777777">
        <w:tc>
          <w:tcPr>
            <w:tcW w:w="496" w:type="pct"/>
            <w:vMerge w:val="restart"/>
            <w:vAlign w:val="center"/>
          </w:tcPr>
          <w:p w14:paraId="11D0C621"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管治</w:t>
            </w:r>
          </w:p>
        </w:tc>
        <w:tc>
          <w:tcPr>
            <w:tcW w:w="843" w:type="pct"/>
            <w:vMerge w:val="restart"/>
            <w:shd w:val="clear" w:color="auto" w:fill="auto"/>
            <w:vAlign w:val="center"/>
          </w:tcPr>
          <w:p w14:paraId="114D956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ESG管理</w:t>
            </w:r>
          </w:p>
        </w:tc>
        <w:tc>
          <w:tcPr>
            <w:tcW w:w="491" w:type="pct"/>
            <w:vMerge w:val="restart"/>
            <w:shd w:val="clear" w:color="auto" w:fill="auto"/>
            <w:vAlign w:val="center"/>
          </w:tcPr>
          <w:p w14:paraId="6869CA8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819" w:type="pct"/>
            <w:shd w:val="clear" w:color="auto" w:fill="auto"/>
            <w:vAlign w:val="center"/>
          </w:tcPr>
          <w:p w14:paraId="3D8BF17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ESG规划</w:t>
            </w:r>
          </w:p>
        </w:tc>
        <w:tc>
          <w:tcPr>
            <w:tcW w:w="1848" w:type="pct"/>
            <w:shd w:val="clear" w:color="auto" w:fill="auto"/>
            <w:vAlign w:val="center"/>
          </w:tcPr>
          <w:p w14:paraId="3CBB3A32"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制定由企业所有者或高级管理层承诺的ESG战略和目标，建立ESG发展配套工作机制。</w:t>
            </w:r>
          </w:p>
        </w:tc>
        <w:tc>
          <w:tcPr>
            <w:tcW w:w="499" w:type="pct"/>
            <w:vAlign w:val="center"/>
          </w:tcPr>
          <w:p w14:paraId="75B47371"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25046195" w14:textId="77777777">
        <w:tc>
          <w:tcPr>
            <w:tcW w:w="496" w:type="pct"/>
            <w:vMerge/>
          </w:tcPr>
          <w:p w14:paraId="5525A2E2" w14:textId="77777777" w:rsidR="0014483B" w:rsidRDefault="0014483B">
            <w:pPr>
              <w:pStyle w:val="af4"/>
              <w:ind w:firstLineChars="0" w:firstLine="0"/>
              <w:rPr>
                <w:rFonts w:ascii="仿宋_GB2312" w:eastAsia="仿宋_GB2312" w:hAnsi="仿宋_GB2312" w:cs="仿宋_GB2312"/>
                <w:sz w:val="28"/>
                <w:szCs w:val="28"/>
              </w:rPr>
            </w:pPr>
          </w:p>
        </w:tc>
        <w:tc>
          <w:tcPr>
            <w:tcW w:w="843" w:type="pct"/>
            <w:vMerge/>
            <w:shd w:val="clear" w:color="auto" w:fill="auto"/>
            <w:vAlign w:val="center"/>
          </w:tcPr>
          <w:p w14:paraId="1FE68F2C" w14:textId="77777777" w:rsidR="0014483B" w:rsidRDefault="0014483B">
            <w:pPr>
              <w:pStyle w:val="af4"/>
              <w:ind w:firstLineChars="0" w:firstLine="0"/>
              <w:jc w:val="center"/>
              <w:rPr>
                <w:rFonts w:ascii="仿宋_GB2312" w:eastAsia="仿宋_GB2312" w:hAnsi="仿宋_GB2312" w:cs="仿宋_GB2312"/>
                <w:sz w:val="28"/>
                <w:szCs w:val="28"/>
              </w:rPr>
            </w:pPr>
          </w:p>
        </w:tc>
        <w:tc>
          <w:tcPr>
            <w:tcW w:w="491" w:type="pct"/>
            <w:vMerge/>
            <w:shd w:val="clear" w:color="auto" w:fill="auto"/>
            <w:vAlign w:val="center"/>
          </w:tcPr>
          <w:p w14:paraId="6B0F4101" w14:textId="77777777" w:rsidR="0014483B" w:rsidRDefault="0014483B">
            <w:pPr>
              <w:pStyle w:val="af4"/>
              <w:ind w:firstLineChars="0" w:firstLine="0"/>
              <w:jc w:val="center"/>
              <w:rPr>
                <w:rFonts w:ascii="仿宋_GB2312" w:eastAsia="仿宋_GB2312" w:hAnsi="仿宋_GB2312" w:cs="仿宋_GB2312"/>
                <w:sz w:val="28"/>
                <w:szCs w:val="28"/>
              </w:rPr>
            </w:pPr>
          </w:p>
        </w:tc>
        <w:tc>
          <w:tcPr>
            <w:tcW w:w="819" w:type="pct"/>
            <w:shd w:val="clear" w:color="auto" w:fill="auto"/>
            <w:vAlign w:val="center"/>
          </w:tcPr>
          <w:p w14:paraId="433DC22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ESG沟通</w:t>
            </w:r>
          </w:p>
        </w:tc>
        <w:tc>
          <w:tcPr>
            <w:tcW w:w="1848" w:type="pct"/>
            <w:shd w:val="clear" w:color="auto" w:fill="auto"/>
            <w:vAlign w:val="center"/>
          </w:tcPr>
          <w:p w14:paraId="334DC5CE"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建立利益相关方沟通机制，回应利益相关方诉求并识别利益相关方实质性利益和期望，准确披露ESG信息。</w:t>
            </w:r>
          </w:p>
        </w:tc>
        <w:tc>
          <w:tcPr>
            <w:tcW w:w="499" w:type="pct"/>
            <w:vAlign w:val="center"/>
          </w:tcPr>
          <w:p w14:paraId="49AA4AC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5C29F315" w14:textId="77777777">
        <w:tc>
          <w:tcPr>
            <w:tcW w:w="496" w:type="pct"/>
            <w:vMerge/>
          </w:tcPr>
          <w:p w14:paraId="34205311" w14:textId="77777777" w:rsidR="0014483B" w:rsidRDefault="0014483B">
            <w:pPr>
              <w:pStyle w:val="af4"/>
              <w:ind w:firstLineChars="0" w:firstLine="0"/>
              <w:rPr>
                <w:rFonts w:ascii="仿宋_GB2312" w:eastAsia="仿宋_GB2312" w:hAnsi="仿宋_GB2312" w:cs="仿宋_GB2312"/>
                <w:sz w:val="28"/>
                <w:szCs w:val="28"/>
              </w:rPr>
            </w:pPr>
          </w:p>
        </w:tc>
        <w:tc>
          <w:tcPr>
            <w:tcW w:w="843" w:type="pct"/>
            <w:vMerge/>
            <w:shd w:val="clear" w:color="auto" w:fill="auto"/>
            <w:vAlign w:val="center"/>
          </w:tcPr>
          <w:p w14:paraId="571F8705" w14:textId="77777777" w:rsidR="0014483B" w:rsidRDefault="0014483B">
            <w:pPr>
              <w:pStyle w:val="af4"/>
              <w:ind w:firstLineChars="0" w:firstLine="0"/>
              <w:jc w:val="center"/>
              <w:rPr>
                <w:rFonts w:ascii="仿宋_GB2312" w:eastAsia="仿宋_GB2312" w:hAnsi="仿宋_GB2312" w:cs="仿宋_GB2312"/>
                <w:sz w:val="28"/>
                <w:szCs w:val="28"/>
              </w:rPr>
            </w:pPr>
          </w:p>
        </w:tc>
        <w:tc>
          <w:tcPr>
            <w:tcW w:w="491" w:type="pct"/>
            <w:vMerge/>
            <w:shd w:val="clear" w:color="auto" w:fill="auto"/>
            <w:vAlign w:val="center"/>
          </w:tcPr>
          <w:p w14:paraId="6F8BAE78" w14:textId="77777777" w:rsidR="0014483B" w:rsidRDefault="0014483B">
            <w:pPr>
              <w:pStyle w:val="af4"/>
              <w:ind w:firstLineChars="0" w:firstLine="0"/>
              <w:jc w:val="center"/>
              <w:rPr>
                <w:rFonts w:ascii="仿宋_GB2312" w:eastAsia="仿宋_GB2312" w:hAnsi="仿宋_GB2312" w:cs="仿宋_GB2312"/>
                <w:sz w:val="28"/>
                <w:szCs w:val="28"/>
              </w:rPr>
            </w:pPr>
          </w:p>
        </w:tc>
        <w:tc>
          <w:tcPr>
            <w:tcW w:w="819" w:type="pct"/>
            <w:shd w:val="clear" w:color="auto" w:fill="auto"/>
            <w:vAlign w:val="center"/>
          </w:tcPr>
          <w:p w14:paraId="5CB121C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ESG能力</w:t>
            </w:r>
          </w:p>
        </w:tc>
        <w:tc>
          <w:tcPr>
            <w:tcW w:w="1848" w:type="pct"/>
            <w:shd w:val="clear" w:color="auto" w:fill="auto"/>
            <w:vAlign w:val="center"/>
          </w:tcPr>
          <w:p w14:paraId="12690C89"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开展ESG培训，提升员工对ESG理念、ESG管理工具及ESG发展趋势的认识和了解。</w:t>
            </w:r>
          </w:p>
        </w:tc>
        <w:tc>
          <w:tcPr>
            <w:tcW w:w="499" w:type="pct"/>
            <w:vAlign w:val="center"/>
          </w:tcPr>
          <w:p w14:paraId="63129D5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4483B" w14:paraId="57AA8069" w14:textId="77777777">
        <w:tc>
          <w:tcPr>
            <w:tcW w:w="496" w:type="pct"/>
            <w:vMerge/>
          </w:tcPr>
          <w:p w14:paraId="505F517B" w14:textId="77777777" w:rsidR="0014483B" w:rsidRDefault="0014483B">
            <w:pPr>
              <w:pStyle w:val="af4"/>
              <w:ind w:firstLineChars="0" w:firstLine="0"/>
              <w:jc w:val="center"/>
              <w:rPr>
                <w:rFonts w:ascii="仿宋_GB2312" w:eastAsia="仿宋_GB2312" w:hAnsi="仿宋_GB2312" w:cs="仿宋_GB2312"/>
                <w:sz w:val="28"/>
                <w:szCs w:val="28"/>
              </w:rPr>
            </w:pPr>
          </w:p>
        </w:tc>
        <w:tc>
          <w:tcPr>
            <w:tcW w:w="843" w:type="pct"/>
            <w:vMerge w:val="restart"/>
            <w:shd w:val="clear" w:color="auto" w:fill="auto"/>
            <w:vAlign w:val="center"/>
          </w:tcPr>
          <w:p w14:paraId="73C5C84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公司治理</w:t>
            </w:r>
          </w:p>
        </w:tc>
        <w:tc>
          <w:tcPr>
            <w:tcW w:w="491" w:type="pct"/>
            <w:vMerge w:val="restart"/>
            <w:shd w:val="clear" w:color="auto" w:fill="auto"/>
            <w:vAlign w:val="center"/>
          </w:tcPr>
          <w:p w14:paraId="05A04706"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819" w:type="pct"/>
            <w:shd w:val="clear" w:color="auto" w:fill="auto"/>
            <w:vAlign w:val="center"/>
          </w:tcPr>
          <w:p w14:paraId="70D169BF"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董事会</w:t>
            </w:r>
          </w:p>
        </w:tc>
        <w:tc>
          <w:tcPr>
            <w:tcW w:w="1848" w:type="pct"/>
            <w:shd w:val="clear" w:color="auto" w:fill="auto"/>
            <w:vAlign w:val="center"/>
          </w:tcPr>
          <w:p w14:paraId="2CD2C9E9"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企业董事会成员人数、性别比例、学历、专业技能等情况。</w:t>
            </w:r>
          </w:p>
        </w:tc>
        <w:tc>
          <w:tcPr>
            <w:tcW w:w="499" w:type="pct"/>
            <w:vAlign w:val="center"/>
          </w:tcPr>
          <w:p w14:paraId="2D98BD7F"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r>
      <w:tr w:rsidR="0014483B" w14:paraId="5B315BA0" w14:textId="77777777">
        <w:tc>
          <w:tcPr>
            <w:tcW w:w="496" w:type="pct"/>
            <w:vMerge/>
          </w:tcPr>
          <w:p w14:paraId="430D1CBA" w14:textId="77777777" w:rsidR="0014483B" w:rsidRDefault="0014483B">
            <w:pPr>
              <w:pStyle w:val="af4"/>
              <w:ind w:firstLineChars="0" w:firstLine="0"/>
              <w:jc w:val="center"/>
              <w:rPr>
                <w:rFonts w:ascii="仿宋_GB2312" w:eastAsia="仿宋_GB2312" w:hAnsi="仿宋_GB2312" w:cs="仿宋_GB2312"/>
                <w:sz w:val="28"/>
                <w:szCs w:val="28"/>
              </w:rPr>
            </w:pPr>
          </w:p>
        </w:tc>
        <w:tc>
          <w:tcPr>
            <w:tcW w:w="843" w:type="pct"/>
            <w:vMerge/>
            <w:shd w:val="clear" w:color="auto" w:fill="auto"/>
            <w:vAlign w:val="center"/>
          </w:tcPr>
          <w:p w14:paraId="6913EA94" w14:textId="77777777" w:rsidR="0014483B" w:rsidRDefault="0014483B">
            <w:pPr>
              <w:pStyle w:val="af4"/>
              <w:ind w:firstLineChars="0" w:firstLine="0"/>
              <w:jc w:val="center"/>
              <w:rPr>
                <w:rFonts w:ascii="仿宋_GB2312" w:eastAsia="仿宋_GB2312" w:hAnsi="仿宋_GB2312" w:cs="仿宋_GB2312"/>
                <w:sz w:val="28"/>
                <w:szCs w:val="28"/>
              </w:rPr>
            </w:pPr>
          </w:p>
        </w:tc>
        <w:tc>
          <w:tcPr>
            <w:tcW w:w="491" w:type="pct"/>
            <w:vMerge/>
            <w:shd w:val="clear" w:color="auto" w:fill="auto"/>
            <w:vAlign w:val="center"/>
          </w:tcPr>
          <w:p w14:paraId="3C1B15E5" w14:textId="77777777" w:rsidR="0014483B" w:rsidRDefault="0014483B">
            <w:pPr>
              <w:pStyle w:val="af4"/>
              <w:ind w:firstLineChars="0" w:firstLine="0"/>
              <w:jc w:val="center"/>
              <w:rPr>
                <w:rFonts w:ascii="仿宋_GB2312" w:eastAsia="仿宋_GB2312" w:hAnsi="仿宋_GB2312" w:cs="仿宋_GB2312"/>
                <w:sz w:val="28"/>
                <w:szCs w:val="28"/>
              </w:rPr>
            </w:pPr>
          </w:p>
        </w:tc>
        <w:tc>
          <w:tcPr>
            <w:tcW w:w="819" w:type="pct"/>
            <w:shd w:val="clear" w:color="auto" w:fill="auto"/>
            <w:vAlign w:val="center"/>
          </w:tcPr>
          <w:p w14:paraId="7623BBC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管治</w:t>
            </w:r>
          </w:p>
        </w:tc>
        <w:tc>
          <w:tcPr>
            <w:tcW w:w="1848" w:type="pct"/>
            <w:shd w:val="clear" w:color="auto" w:fill="auto"/>
            <w:vAlign w:val="center"/>
          </w:tcPr>
          <w:p w14:paraId="53E75CA4"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建立良好有序的治理结构，建立完善制度防范利益冲突，保证中小股东的知情权、席位、话语权以及自由转让股份权、异议小股东的退股权。</w:t>
            </w:r>
          </w:p>
        </w:tc>
        <w:tc>
          <w:tcPr>
            <w:tcW w:w="499" w:type="pct"/>
            <w:vAlign w:val="center"/>
          </w:tcPr>
          <w:p w14:paraId="6DD9E4F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4483B" w14:paraId="06940596" w14:textId="77777777">
        <w:tc>
          <w:tcPr>
            <w:tcW w:w="496" w:type="pct"/>
            <w:vMerge/>
          </w:tcPr>
          <w:p w14:paraId="0F94F40D" w14:textId="77777777" w:rsidR="0014483B" w:rsidRDefault="0014483B">
            <w:pPr>
              <w:pStyle w:val="af4"/>
              <w:ind w:firstLineChars="0" w:firstLine="0"/>
              <w:jc w:val="center"/>
              <w:rPr>
                <w:rFonts w:ascii="仿宋_GB2312" w:eastAsia="仿宋_GB2312" w:hAnsi="仿宋_GB2312" w:cs="仿宋_GB2312"/>
                <w:sz w:val="28"/>
                <w:szCs w:val="28"/>
              </w:rPr>
            </w:pPr>
          </w:p>
        </w:tc>
        <w:tc>
          <w:tcPr>
            <w:tcW w:w="843" w:type="pct"/>
            <w:vMerge/>
            <w:shd w:val="clear" w:color="auto" w:fill="auto"/>
            <w:vAlign w:val="center"/>
          </w:tcPr>
          <w:p w14:paraId="606351EA" w14:textId="77777777" w:rsidR="0014483B" w:rsidRDefault="0014483B">
            <w:pPr>
              <w:pStyle w:val="af4"/>
              <w:ind w:firstLineChars="0" w:firstLine="0"/>
              <w:jc w:val="center"/>
              <w:rPr>
                <w:rFonts w:ascii="仿宋_GB2312" w:eastAsia="仿宋_GB2312" w:hAnsi="仿宋_GB2312" w:cs="仿宋_GB2312"/>
                <w:sz w:val="28"/>
                <w:szCs w:val="28"/>
              </w:rPr>
            </w:pPr>
          </w:p>
        </w:tc>
        <w:tc>
          <w:tcPr>
            <w:tcW w:w="491" w:type="pct"/>
            <w:vMerge/>
            <w:shd w:val="clear" w:color="auto" w:fill="auto"/>
            <w:vAlign w:val="center"/>
          </w:tcPr>
          <w:p w14:paraId="5D4A6AE1" w14:textId="77777777" w:rsidR="0014483B" w:rsidRDefault="0014483B">
            <w:pPr>
              <w:pStyle w:val="af4"/>
              <w:ind w:firstLineChars="0" w:firstLine="0"/>
              <w:jc w:val="center"/>
              <w:rPr>
                <w:rFonts w:ascii="仿宋_GB2312" w:eastAsia="仿宋_GB2312" w:hAnsi="仿宋_GB2312" w:cs="仿宋_GB2312"/>
                <w:sz w:val="28"/>
                <w:szCs w:val="28"/>
              </w:rPr>
            </w:pPr>
          </w:p>
        </w:tc>
        <w:tc>
          <w:tcPr>
            <w:tcW w:w="819" w:type="pct"/>
            <w:shd w:val="clear" w:color="auto" w:fill="auto"/>
            <w:vAlign w:val="center"/>
          </w:tcPr>
          <w:p w14:paraId="0AF310A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商业道德</w:t>
            </w:r>
          </w:p>
        </w:tc>
        <w:tc>
          <w:tcPr>
            <w:tcW w:w="1848" w:type="pct"/>
            <w:shd w:val="clear" w:color="auto" w:fill="auto"/>
            <w:vAlign w:val="center"/>
          </w:tcPr>
          <w:p w14:paraId="29D2CB7C"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建立反腐败、反舞弊专项制度和举报者保护制度，谨防不当竞争与垄断倾销等情况。</w:t>
            </w:r>
          </w:p>
        </w:tc>
        <w:tc>
          <w:tcPr>
            <w:tcW w:w="499" w:type="pct"/>
            <w:vAlign w:val="center"/>
          </w:tcPr>
          <w:p w14:paraId="16D50E5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bl>
    <w:p w14:paraId="77A70722" w14:textId="77777777" w:rsidR="0014483B" w:rsidRDefault="0014483B">
      <w:pPr>
        <w:pStyle w:val="a2"/>
        <w:framePr w:w="0" w:hRule="auto" w:wrap="auto" w:vAnchor="margin" w:hAnchor="text" w:xAlign="left" w:yAlign="inline"/>
        <w:jc w:val="both"/>
        <w:rPr>
          <w:rFonts w:ascii="Times New Roman"/>
          <w:sz w:val="32"/>
          <w:szCs w:val="32"/>
        </w:rPr>
      </w:pPr>
    </w:p>
    <w:p w14:paraId="5DC993AB" w14:textId="77777777" w:rsidR="0014483B" w:rsidRDefault="00312470">
      <w:pPr>
        <w:widowControl/>
        <w:jc w:val="left"/>
        <w:rPr>
          <w:rFonts w:ascii="Times New Roman" w:eastAsia="黑体" w:hAnsi="Times New Roman" w:cs="Times New Roman"/>
          <w:kern w:val="0"/>
          <w:sz w:val="32"/>
          <w:szCs w:val="32"/>
        </w:rPr>
      </w:pPr>
      <w:r>
        <w:rPr>
          <w:rFonts w:ascii="Times New Roman"/>
          <w:sz w:val="32"/>
          <w:szCs w:val="32"/>
        </w:rPr>
        <w:br w:type="page"/>
      </w:r>
    </w:p>
    <w:p w14:paraId="1932EBC1" w14:textId="77777777" w:rsidR="0014483B" w:rsidRDefault="00312470">
      <w:pPr>
        <w:pStyle w:val="1"/>
        <w:numPr>
          <w:ilvl w:val="0"/>
          <w:numId w:val="0"/>
        </w:numPr>
        <w:ind w:left="720" w:hanging="720"/>
      </w:pPr>
      <w:bookmarkStart w:id="21" w:name="_Toc89351218"/>
      <w:r>
        <w:rPr>
          <w:rFonts w:hint="eastAsia"/>
        </w:rPr>
        <w:lastRenderedPageBreak/>
        <w:t>附表：</w:t>
      </w:r>
      <w:bookmarkEnd w:id="21"/>
    </w:p>
    <w:p w14:paraId="518AFC6A" w14:textId="77777777" w:rsidR="0014483B" w:rsidRDefault="0014483B">
      <w:pPr>
        <w:spacing w:line="580" w:lineRule="exact"/>
        <w:jc w:val="center"/>
        <w:rPr>
          <w:rFonts w:ascii="Times New Roman" w:eastAsia="方正小标宋简体" w:hAnsi="Times New Roman" w:cs="Times New Roman"/>
          <w:sz w:val="44"/>
          <w:szCs w:val="44"/>
        </w:rPr>
      </w:pPr>
    </w:p>
    <w:p w14:paraId="5C025C47" w14:textId="77777777" w:rsidR="0014483B" w:rsidRDefault="00312470">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企业</w:t>
      </w:r>
      <w:r>
        <w:rPr>
          <w:rFonts w:ascii="方正小标宋简体" w:eastAsia="方正小标宋简体" w:hAnsi="方正小标宋简体" w:cs="方正小标宋简体" w:hint="eastAsia"/>
          <w:sz w:val="44"/>
          <w:szCs w:val="44"/>
        </w:rPr>
        <w:t>ESG</w:t>
      </w:r>
      <w:r>
        <w:rPr>
          <w:rFonts w:ascii="Times New Roman" w:eastAsia="方正小标宋简体" w:hAnsi="Times New Roman" w:cs="Times New Roman" w:hint="eastAsia"/>
          <w:sz w:val="44"/>
          <w:szCs w:val="44"/>
        </w:rPr>
        <w:t>评价细则</w:t>
      </w:r>
    </w:p>
    <w:p w14:paraId="619AED9A" w14:textId="77777777" w:rsidR="0014483B" w:rsidRDefault="0014483B">
      <w:pPr>
        <w:pStyle w:val="a1"/>
      </w:pPr>
    </w:p>
    <w:tbl>
      <w:tblPr>
        <w:tblW w:w="51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1448"/>
        <w:gridCol w:w="796"/>
        <w:gridCol w:w="1406"/>
        <w:gridCol w:w="3146"/>
        <w:gridCol w:w="848"/>
      </w:tblGrid>
      <w:tr w:rsidR="0014483B" w14:paraId="76FD229E" w14:textId="77777777">
        <w:trPr>
          <w:tblHeader/>
        </w:trPr>
        <w:tc>
          <w:tcPr>
            <w:tcW w:w="504" w:type="pct"/>
            <w:vAlign w:val="center"/>
          </w:tcPr>
          <w:p w14:paraId="0F9A16AC" w14:textId="77777777" w:rsidR="0014483B" w:rsidRDefault="00312470">
            <w:pPr>
              <w:pStyle w:val="af4"/>
              <w:ind w:firstLineChars="0" w:firstLine="0"/>
              <w:jc w:val="center"/>
              <w:rPr>
                <w:rFonts w:ascii="仿宋_GB2312" w:eastAsia="仿宋_GB2312" w:hAnsi="仿宋_GB2312" w:cs="仿宋_GB2312"/>
                <w:b/>
                <w:bCs/>
                <w:sz w:val="28"/>
                <w:szCs w:val="28"/>
              </w:rPr>
            </w:pPr>
            <w:bookmarkStart w:id="22" w:name="_Hlk89251840"/>
            <w:r>
              <w:rPr>
                <w:rFonts w:ascii="仿宋_GB2312" w:eastAsia="仿宋_GB2312" w:hAnsi="仿宋_GB2312" w:cs="仿宋_GB2312" w:hint="eastAsia"/>
                <w:b/>
                <w:bCs/>
                <w:sz w:val="28"/>
                <w:szCs w:val="28"/>
              </w:rPr>
              <w:t>领域</w:t>
            </w:r>
          </w:p>
        </w:tc>
        <w:tc>
          <w:tcPr>
            <w:tcW w:w="850" w:type="pct"/>
            <w:shd w:val="clear" w:color="auto" w:fill="auto"/>
            <w:vAlign w:val="center"/>
          </w:tcPr>
          <w:p w14:paraId="25648347"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一级指标</w:t>
            </w:r>
          </w:p>
        </w:tc>
        <w:tc>
          <w:tcPr>
            <w:tcW w:w="468" w:type="pct"/>
            <w:shd w:val="clear" w:color="auto" w:fill="auto"/>
            <w:vAlign w:val="center"/>
          </w:tcPr>
          <w:p w14:paraId="1C0CF683"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权重</w:t>
            </w:r>
          </w:p>
        </w:tc>
        <w:tc>
          <w:tcPr>
            <w:tcW w:w="827" w:type="pct"/>
            <w:shd w:val="clear" w:color="auto" w:fill="auto"/>
            <w:vAlign w:val="center"/>
          </w:tcPr>
          <w:p w14:paraId="3859D083"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二级指标</w:t>
            </w:r>
          </w:p>
        </w:tc>
        <w:tc>
          <w:tcPr>
            <w:tcW w:w="1849" w:type="pct"/>
            <w:shd w:val="clear" w:color="auto" w:fill="auto"/>
            <w:vAlign w:val="center"/>
          </w:tcPr>
          <w:p w14:paraId="68A11205"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评价内容</w:t>
            </w:r>
          </w:p>
        </w:tc>
        <w:tc>
          <w:tcPr>
            <w:tcW w:w="499" w:type="pct"/>
            <w:vAlign w:val="center"/>
          </w:tcPr>
          <w:p w14:paraId="063D4142" w14:textId="77777777" w:rsidR="0014483B" w:rsidRDefault="00312470">
            <w:pPr>
              <w:pStyle w:val="af4"/>
              <w:ind w:firstLineChars="0" w:firstLine="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满分</w:t>
            </w:r>
          </w:p>
        </w:tc>
      </w:tr>
      <w:tr w:rsidR="0014483B" w14:paraId="45528339" w14:textId="77777777">
        <w:tc>
          <w:tcPr>
            <w:tcW w:w="504" w:type="pct"/>
            <w:vMerge w:val="restart"/>
            <w:vAlign w:val="center"/>
          </w:tcPr>
          <w:p w14:paraId="6825F69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环境</w:t>
            </w:r>
          </w:p>
        </w:tc>
        <w:tc>
          <w:tcPr>
            <w:tcW w:w="850" w:type="pct"/>
            <w:vMerge w:val="restart"/>
            <w:shd w:val="clear" w:color="auto" w:fill="auto"/>
            <w:vAlign w:val="center"/>
          </w:tcPr>
          <w:p w14:paraId="1371EDF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环境</w:t>
            </w:r>
          </w:p>
        </w:tc>
        <w:tc>
          <w:tcPr>
            <w:tcW w:w="468" w:type="pct"/>
            <w:vMerge w:val="restart"/>
            <w:shd w:val="clear" w:color="auto" w:fill="auto"/>
            <w:vAlign w:val="center"/>
          </w:tcPr>
          <w:p w14:paraId="14C3519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40%</w:t>
            </w:r>
          </w:p>
        </w:tc>
        <w:tc>
          <w:tcPr>
            <w:tcW w:w="827" w:type="pct"/>
            <w:shd w:val="clear" w:color="auto" w:fill="auto"/>
            <w:vAlign w:val="center"/>
          </w:tcPr>
          <w:p w14:paraId="241E939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环境管理</w:t>
            </w:r>
          </w:p>
        </w:tc>
        <w:tc>
          <w:tcPr>
            <w:tcW w:w="3230" w:type="dxa"/>
            <w:shd w:val="clear" w:color="auto" w:fill="auto"/>
            <w:vAlign w:val="center"/>
          </w:tcPr>
          <w:p w14:paraId="441080AA"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建立环境管理组织，制定环境管理制度，进行相应计划、执行、检查、改进，建立环境风险识别机制，识别、监测和评估潜在的事故或紧急情况并采取预防措施，减少对环境影的负面影响。</w:t>
            </w:r>
          </w:p>
        </w:tc>
        <w:tc>
          <w:tcPr>
            <w:tcW w:w="499" w:type="pct"/>
            <w:vAlign w:val="center"/>
          </w:tcPr>
          <w:p w14:paraId="4824C2D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25A4DCEF" w14:textId="77777777">
        <w:tc>
          <w:tcPr>
            <w:tcW w:w="504" w:type="pct"/>
            <w:vMerge/>
            <w:vAlign w:val="center"/>
          </w:tcPr>
          <w:p w14:paraId="0980FD7F"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3489B82B"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226B2AF4"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045BAA9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环保实践</w:t>
            </w:r>
          </w:p>
        </w:tc>
        <w:tc>
          <w:tcPr>
            <w:tcW w:w="3230" w:type="dxa"/>
            <w:shd w:val="clear" w:color="auto" w:fill="auto"/>
            <w:vAlign w:val="center"/>
          </w:tcPr>
          <w:p w14:paraId="4BACDF97"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开展绿色转型，支持绿色技术研发和绿色改造，开展节能生产审核，采取节能生产措施，实施绿色办公与绿色运输政策等。</w:t>
            </w:r>
          </w:p>
        </w:tc>
        <w:tc>
          <w:tcPr>
            <w:tcW w:w="499" w:type="pct"/>
            <w:vAlign w:val="center"/>
          </w:tcPr>
          <w:p w14:paraId="420A712F"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2CFA1935" w14:textId="77777777">
        <w:tc>
          <w:tcPr>
            <w:tcW w:w="504" w:type="pct"/>
            <w:vMerge/>
          </w:tcPr>
          <w:p w14:paraId="40BC93E4" w14:textId="77777777" w:rsidR="0014483B" w:rsidRDefault="0014483B">
            <w:pPr>
              <w:pStyle w:val="af4"/>
              <w:ind w:firstLine="560"/>
              <w:jc w:val="center"/>
              <w:rPr>
                <w:rFonts w:ascii="仿宋_GB2312" w:eastAsia="仿宋_GB2312" w:hAnsi="仿宋_GB2312" w:cs="仿宋_GB2312"/>
                <w:sz w:val="28"/>
                <w:szCs w:val="28"/>
              </w:rPr>
            </w:pPr>
          </w:p>
        </w:tc>
        <w:tc>
          <w:tcPr>
            <w:tcW w:w="850" w:type="pct"/>
            <w:vMerge/>
            <w:shd w:val="clear" w:color="auto" w:fill="auto"/>
            <w:vAlign w:val="center"/>
          </w:tcPr>
          <w:p w14:paraId="1D826E38" w14:textId="77777777" w:rsidR="0014483B" w:rsidRDefault="0014483B">
            <w:pPr>
              <w:pStyle w:val="af4"/>
              <w:ind w:firstLine="560"/>
              <w:jc w:val="center"/>
              <w:rPr>
                <w:rFonts w:ascii="仿宋_GB2312" w:eastAsia="仿宋_GB2312" w:hAnsi="仿宋_GB2312" w:cs="仿宋_GB2312"/>
                <w:sz w:val="28"/>
                <w:szCs w:val="28"/>
              </w:rPr>
            </w:pPr>
          </w:p>
        </w:tc>
        <w:tc>
          <w:tcPr>
            <w:tcW w:w="468" w:type="pct"/>
            <w:vMerge/>
            <w:shd w:val="clear" w:color="auto" w:fill="auto"/>
            <w:vAlign w:val="center"/>
          </w:tcPr>
          <w:p w14:paraId="2FCB0C66"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1BA7656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气候变化</w:t>
            </w:r>
          </w:p>
        </w:tc>
        <w:tc>
          <w:tcPr>
            <w:tcW w:w="3230" w:type="dxa"/>
            <w:shd w:val="clear" w:color="auto" w:fill="auto"/>
            <w:vAlign w:val="center"/>
          </w:tcPr>
          <w:p w14:paraId="7FEA94D5"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响应国家“碳达峰·碳中和”政策，制定企业碳达峰、碳中和目标、方案，有效披露温室气体排放数据，为降低碳排放而制定相关目标、制度，实施节能减排措施等。</w:t>
            </w:r>
          </w:p>
        </w:tc>
        <w:tc>
          <w:tcPr>
            <w:tcW w:w="499" w:type="pct"/>
            <w:vAlign w:val="center"/>
          </w:tcPr>
          <w:p w14:paraId="655C9CD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65E5967C" w14:textId="77777777">
        <w:tc>
          <w:tcPr>
            <w:tcW w:w="504" w:type="pct"/>
            <w:vMerge/>
          </w:tcPr>
          <w:p w14:paraId="11A5E112" w14:textId="77777777" w:rsidR="0014483B" w:rsidRDefault="0014483B">
            <w:pPr>
              <w:pStyle w:val="af4"/>
              <w:ind w:firstLine="560"/>
              <w:jc w:val="center"/>
              <w:rPr>
                <w:rFonts w:ascii="仿宋_GB2312" w:eastAsia="仿宋_GB2312" w:hAnsi="仿宋_GB2312" w:cs="仿宋_GB2312"/>
                <w:sz w:val="28"/>
                <w:szCs w:val="28"/>
              </w:rPr>
            </w:pPr>
          </w:p>
        </w:tc>
        <w:tc>
          <w:tcPr>
            <w:tcW w:w="850" w:type="pct"/>
            <w:vMerge/>
            <w:shd w:val="clear" w:color="auto" w:fill="auto"/>
            <w:vAlign w:val="center"/>
          </w:tcPr>
          <w:p w14:paraId="23B828B6" w14:textId="77777777" w:rsidR="0014483B" w:rsidRDefault="0014483B">
            <w:pPr>
              <w:pStyle w:val="af4"/>
              <w:ind w:firstLine="560"/>
              <w:jc w:val="center"/>
              <w:rPr>
                <w:rFonts w:ascii="仿宋_GB2312" w:eastAsia="仿宋_GB2312" w:hAnsi="仿宋_GB2312" w:cs="仿宋_GB2312"/>
                <w:sz w:val="28"/>
                <w:szCs w:val="28"/>
              </w:rPr>
            </w:pPr>
          </w:p>
        </w:tc>
        <w:tc>
          <w:tcPr>
            <w:tcW w:w="468" w:type="pct"/>
            <w:vMerge/>
            <w:shd w:val="clear" w:color="auto" w:fill="auto"/>
            <w:vAlign w:val="center"/>
          </w:tcPr>
          <w:p w14:paraId="6AFE984B"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44256EB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生态保护</w:t>
            </w:r>
          </w:p>
        </w:tc>
        <w:tc>
          <w:tcPr>
            <w:tcW w:w="3230" w:type="dxa"/>
            <w:shd w:val="clear" w:color="auto" w:fill="auto"/>
            <w:vAlign w:val="center"/>
          </w:tcPr>
          <w:p w14:paraId="6B14DA29"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识别并谨慎考虑自身活动及产品或服务可能存在的对生物多样性和生态系统服务能力的潜在消极影响，在采取有效措施预防和降低环境影响条件下开展生产运营活动等。</w:t>
            </w:r>
          </w:p>
        </w:tc>
        <w:tc>
          <w:tcPr>
            <w:tcW w:w="499" w:type="pct"/>
            <w:vAlign w:val="center"/>
          </w:tcPr>
          <w:p w14:paraId="1A0250E1"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4483B" w14:paraId="19D98BD2" w14:textId="77777777">
        <w:tc>
          <w:tcPr>
            <w:tcW w:w="504" w:type="pct"/>
            <w:vMerge/>
          </w:tcPr>
          <w:p w14:paraId="33CB0F94" w14:textId="77777777" w:rsidR="0014483B" w:rsidRDefault="0014483B">
            <w:pPr>
              <w:pStyle w:val="af4"/>
              <w:ind w:firstLine="560"/>
              <w:jc w:val="center"/>
              <w:rPr>
                <w:rFonts w:ascii="仿宋_GB2312" w:eastAsia="仿宋_GB2312" w:hAnsi="仿宋_GB2312" w:cs="仿宋_GB2312"/>
                <w:sz w:val="28"/>
                <w:szCs w:val="28"/>
              </w:rPr>
            </w:pPr>
          </w:p>
        </w:tc>
        <w:tc>
          <w:tcPr>
            <w:tcW w:w="850" w:type="pct"/>
            <w:vMerge/>
            <w:shd w:val="clear" w:color="auto" w:fill="auto"/>
            <w:vAlign w:val="center"/>
          </w:tcPr>
          <w:p w14:paraId="10217643" w14:textId="77777777" w:rsidR="0014483B" w:rsidRDefault="0014483B">
            <w:pPr>
              <w:pStyle w:val="af4"/>
              <w:ind w:firstLine="560"/>
              <w:jc w:val="center"/>
              <w:rPr>
                <w:rFonts w:ascii="仿宋_GB2312" w:eastAsia="仿宋_GB2312" w:hAnsi="仿宋_GB2312" w:cs="仿宋_GB2312"/>
                <w:sz w:val="28"/>
                <w:szCs w:val="28"/>
              </w:rPr>
            </w:pPr>
          </w:p>
        </w:tc>
        <w:tc>
          <w:tcPr>
            <w:tcW w:w="468" w:type="pct"/>
            <w:vMerge/>
            <w:shd w:val="clear" w:color="auto" w:fill="auto"/>
            <w:vAlign w:val="center"/>
          </w:tcPr>
          <w:p w14:paraId="6EC2A57B"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3C5341EA"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排放物</w:t>
            </w:r>
          </w:p>
        </w:tc>
        <w:tc>
          <w:tcPr>
            <w:tcW w:w="3230" w:type="dxa"/>
            <w:shd w:val="clear" w:color="auto" w:fill="auto"/>
            <w:vAlign w:val="center"/>
          </w:tcPr>
          <w:p w14:paraId="61148CF1"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识别、测量、记录并报告废水、废气、一般固体废物、危险废物排放情况，在控制排放总量、降低排放强度等方面制定减排目标，并建立有效的管控机制和处理措施确保排放物得到安全处理、</w:t>
            </w:r>
            <w:r>
              <w:rPr>
                <w:rFonts w:ascii="仿宋_GB2312" w:eastAsia="仿宋_GB2312" w:hAnsi="仿宋_GB2312" w:cs="仿宋_GB2312" w:hint="eastAsia"/>
                <w:sz w:val="24"/>
                <w:szCs w:val="24"/>
              </w:rPr>
              <w:lastRenderedPageBreak/>
              <w:t>移动、储存、使用、回收或再利用和处置等。</w:t>
            </w:r>
          </w:p>
        </w:tc>
        <w:tc>
          <w:tcPr>
            <w:tcW w:w="499" w:type="pct"/>
            <w:vAlign w:val="center"/>
          </w:tcPr>
          <w:p w14:paraId="6C6FD8B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12</w:t>
            </w:r>
          </w:p>
        </w:tc>
      </w:tr>
      <w:tr w:rsidR="0014483B" w14:paraId="5157921D" w14:textId="77777777">
        <w:tc>
          <w:tcPr>
            <w:tcW w:w="504" w:type="pct"/>
            <w:vMerge/>
          </w:tcPr>
          <w:p w14:paraId="49D5B8B4"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271B9AD2"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690F446D"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09C0F72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能源消耗</w:t>
            </w:r>
          </w:p>
        </w:tc>
        <w:tc>
          <w:tcPr>
            <w:tcW w:w="3230" w:type="dxa"/>
            <w:shd w:val="clear" w:color="auto" w:fill="auto"/>
            <w:vAlign w:val="center"/>
          </w:tcPr>
          <w:p w14:paraId="4AD60F59"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有效披露能源消耗总量，制定能源效率提升目标并实施有效措施，鼓励使用新能源和可再生能源。</w:t>
            </w:r>
          </w:p>
        </w:tc>
        <w:tc>
          <w:tcPr>
            <w:tcW w:w="499" w:type="pct"/>
            <w:vAlign w:val="center"/>
          </w:tcPr>
          <w:p w14:paraId="1117990F"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r>
      <w:tr w:rsidR="0014483B" w14:paraId="54EA1434" w14:textId="77777777">
        <w:tc>
          <w:tcPr>
            <w:tcW w:w="504" w:type="pct"/>
            <w:vMerge/>
          </w:tcPr>
          <w:p w14:paraId="278D4F2F"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73238015"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33F5A6CE"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720D0C5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水资源</w:t>
            </w:r>
          </w:p>
        </w:tc>
        <w:tc>
          <w:tcPr>
            <w:tcW w:w="3230" w:type="dxa"/>
            <w:shd w:val="clear" w:color="auto" w:fill="auto"/>
            <w:vAlign w:val="center"/>
          </w:tcPr>
          <w:p w14:paraId="79A062B0"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为水资源节约、高效利用及废水循环利用制定目标，有效实施节水措施。</w:t>
            </w:r>
          </w:p>
        </w:tc>
        <w:tc>
          <w:tcPr>
            <w:tcW w:w="499" w:type="pct"/>
            <w:vAlign w:val="center"/>
          </w:tcPr>
          <w:p w14:paraId="18F6F38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421123C7" w14:textId="77777777">
        <w:tc>
          <w:tcPr>
            <w:tcW w:w="504" w:type="pct"/>
            <w:vMerge/>
          </w:tcPr>
          <w:p w14:paraId="331600A2"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6E231659"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531D49D2"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25A5CFF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原材料和包装使用</w:t>
            </w:r>
          </w:p>
        </w:tc>
        <w:tc>
          <w:tcPr>
            <w:tcW w:w="1849" w:type="pct"/>
            <w:shd w:val="clear" w:color="auto" w:fill="auto"/>
            <w:vAlign w:val="center"/>
          </w:tcPr>
          <w:p w14:paraId="6526EB13"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包装符合《固体废物污染环境防治法》等法律和相关标准的要求，取减量化包装、包装物循环利用等方式，减少包装物对环境的影响。</w:t>
            </w:r>
          </w:p>
        </w:tc>
        <w:tc>
          <w:tcPr>
            <w:tcW w:w="499" w:type="pct"/>
            <w:vAlign w:val="center"/>
          </w:tcPr>
          <w:p w14:paraId="21151D4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4483B" w14:paraId="5DA7B127" w14:textId="77777777">
        <w:tc>
          <w:tcPr>
            <w:tcW w:w="504" w:type="pct"/>
            <w:vMerge w:val="restart"/>
            <w:vAlign w:val="center"/>
          </w:tcPr>
          <w:p w14:paraId="2696743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w:t>
            </w:r>
          </w:p>
        </w:tc>
        <w:tc>
          <w:tcPr>
            <w:tcW w:w="850" w:type="pct"/>
            <w:vMerge w:val="restart"/>
            <w:shd w:val="clear" w:color="auto" w:fill="auto"/>
            <w:vAlign w:val="center"/>
          </w:tcPr>
          <w:p w14:paraId="74F5438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产品</w:t>
            </w:r>
          </w:p>
        </w:tc>
        <w:tc>
          <w:tcPr>
            <w:tcW w:w="468" w:type="pct"/>
            <w:vMerge w:val="restart"/>
            <w:shd w:val="clear" w:color="auto" w:fill="auto"/>
            <w:vAlign w:val="center"/>
          </w:tcPr>
          <w:p w14:paraId="002CCBA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11.5%</w:t>
            </w:r>
          </w:p>
        </w:tc>
        <w:tc>
          <w:tcPr>
            <w:tcW w:w="827" w:type="pct"/>
            <w:shd w:val="clear" w:color="auto" w:fill="auto"/>
            <w:vAlign w:val="center"/>
          </w:tcPr>
          <w:p w14:paraId="518D2992"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产品健康安全</w:t>
            </w:r>
          </w:p>
        </w:tc>
        <w:tc>
          <w:tcPr>
            <w:tcW w:w="3230" w:type="dxa"/>
            <w:shd w:val="clear" w:color="auto" w:fill="auto"/>
            <w:vAlign w:val="center"/>
          </w:tcPr>
          <w:p w14:paraId="2F809B76"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降低产品、服务全生命周期中的潜在风险与危害，为消费者提供健康、安全的产品及服务。</w:t>
            </w:r>
          </w:p>
        </w:tc>
        <w:tc>
          <w:tcPr>
            <w:tcW w:w="499" w:type="pct"/>
            <w:vAlign w:val="center"/>
          </w:tcPr>
          <w:p w14:paraId="73D8C26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1772B722" w14:textId="77777777">
        <w:tc>
          <w:tcPr>
            <w:tcW w:w="504" w:type="pct"/>
            <w:vMerge/>
          </w:tcPr>
          <w:p w14:paraId="05441231"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1F7AA04B"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3E642374"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22B0FA8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产品质量</w:t>
            </w:r>
          </w:p>
        </w:tc>
        <w:tc>
          <w:tcPr>
            <w:tcW w:w="3230" w:type="dxa"/>
            <w:shd w:val="clear" w:color="auto" w:fill="auto"/>
            <w:vAlign w:val="center"/>
          </w:tcPr>
          <w:p w14:paraId="7A88ABCA"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建立完善的产品质量管理体系，对产品、服务质量进行监督与评估，提升产品合格率，并对产品、服务进行持续改进和优化，不断提高产品、服务质量与消费者体验。</w:t>
            </w:r>
          </w:p>
        </w:tc>
        <w:tc>
          <w:tcPr>
            <w:tcW w:w="499" w:type="pct"/>
            <w:vAlign w:val="center"/>
          </w:tcPr>
          <w:p w14:paraId="683369E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4D44AC40" w14:textId="77777777">
        <w:tc>
          <w:tcPr>
            <w:tcW w:w="504" w:type="pct"/>
            <w:vMerge/>
          </w:tcPr>
          <w:p w14:paraId="26E862A1"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3C1C74B5"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2AB622C4"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286078F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创新研发</w:t>
            </w:r>
          </w:p>
        </w:tc>
        <w:tc>
          <w:tcPr>
            <w:tcW w:w="3230" w:type="dxa"/>
            <w:shd w:val="clear" w:color="auto" w:fill="auto"/>
            <w:vAlign w:val="center"/>
          </w:tcPr>
          <w:p w14:paraId="180D8BAD"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建立研发创新制度、激励机制，保障创新研发资金投入比例，开展人才队伍建设、研发硬件建设等提高创新能力的相关工作。</w:t>
            </w:r>
          </w:p>
        </w:tc>
        <w:tc>
          <w:tcPr>
            <w:tcW w:w="499" w:type="pct"/>
            <w:vAlign w:val="center"/>
          </w:tcPr>
          <w:p w14:paraId="5AB42D8F"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r w:rsidR="0014483B" w14:paraId="6B20C74D" w14:textId="77777777">
        <w:tc>
          <w:tcPr>
            <w:tcW w:w="504" w:type="pct"/>
            <w:vMerge/>
          </w:tcPr>
          <w:p w14:paraId="5E910344"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val="restart"/>
            <w:shd w:val="clear" w:color="auto" w:fill="auto"/>
            <w:vAlign w:val="center"/>
          </w:tcPr>
          <w:p w14:paraId="7C3736B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员工</w:t>
            </w:r>
          </w:p>
        </w:tc>
        <w:tc>
          <w:tcPr>
            <w:tcW w:w="468" w:type="pct"/>
            <w:vMerge w:val="restart"/>
            <w:shd w:val="clear" w:color="auto" w:fill="auto"/>
            <w:vAlign w:val="center"/>
          </w:tcPr>
          <w:p w14:paraId="6D3C1E91"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827" w:type="pct"/>
            <w:shd w:val="clear" w:color="auto" w:fill="auto"/>
            <w:vAlign w:val="center"/>
          </w:tcPr>
          <w:p w14:paraId="366D912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劳资关系</w:t>
            </w:r>
          </w:p>
        </w:tc>
        <w:tc>
          <w:tcPr>
            <w:tcW w:w="3230" w:type="dxa"/>
            <w:shd w:val="clear" w:color="auto" w:fill="auto"/>
            <w:vAlign w:val="center"/>
          </w:tcPr>
          <w:p w14:paraId="246604A5"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在招聘和雇佣过程保障所有员工机会平等，禁止任何形式的歧视，遵守法律法规规定的劳动者年龄、工作时间、薪酬福利标准。</w:t>
            </w:r>
          </w:p>
        </w:tc>
        <w:tc>
          <w:tcPr>
            <w:tcW w:w="499" w:type="pct"/>
            <w:vAlign w:val="center"/>
          </w:tcPr>
          <w:p w14:paraId="78CCFD5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5B1FA65E" w14:textId="77777777">
        <w:tc>
          <w:tcPr>
            <w:tcW w:w="504" w:type="pct"/>
            <w:vMerge/>
          </w:tcPr>
          <w:p w14:paraId="638AD22D"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5FADF644"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2FCD7A74"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78DF6F42"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职业发展</w:t>
            </w:r>
          </w:p>
        </w:tc>
        <w:tc>
          <w:tcPr>
            <w:tcW w:w="3230" w:type="dxa"/>
            <w:shd w:val="clear" w:color="auto" w:fill="auto"/>
            <w:vAlign w:val="center"/>
          </w:tcPr>
          <w:p w14:paraId="2EBC1CE1"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制定完善的职业发展和晋升通道，支持员工获得专业技能方面的培训。</w:t>
            </w:r>
          </w:p>
        </w:tc>
        <w:tc>
          <w:tcPr>
            <w:tcW w:w="499" w:type="pct"/>
            <w:vAlign w:val="center"/>
          </w:tcPr>
          <w:p w14:paraId="01ACBEC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6887778B" w14:textId="77777777">
        <w:tc>
          <w:tcPr>
            <w:tcW w:w="504" w:type="pct"/>
            <w:vMerge/>
          </w:tcPr>
          <w:p w14:paraId="683E4854"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3869A9BD"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48A18EBA"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78ED51F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职业健康安全</w:t>
            </w:r>
          </w:p>
        </w:tc>
        <w:tc>
          <w:tcPr>
            <w:tcW w:w="3230" w:type="dxa"/>
            <w:shd w:val="clear" w:color="auto" w:fill="auto"/>
            <w:vAlign w:val="center"/>
          </w:tcPr>
          <w:p w14:paraId="436DFC6B"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制定、实施并持续改进符合法律规定和企业机构自身特点的职业健康安全管理体</w:t>
            </w:r>
            <w:r>
              <w:rPr>
                <w:rFonts w:ascii="仿宋_GB2312" w:eastAsia="仿宋_GB2312" w:hAnsi="仿宋_GB2312" w:cs="仿宋_GB2312" w:hint="eastAsia"/>
                <w:sz w:val="24"/>
                <w:szCs w:val="24"/>
              </w:rPr>
              <w:lastRenderedPageBreak/>
              <w:t>系，真实准确披露员工年度工伤、工亡情况。</w:t>
            </w:r>
          </w:p>
        </w:tc>
        <w:tc>
          <w:tcPr>
            <w:tcW w:w="499" w:type="pct"/>
            <w:vAlign w:val="center"/>
          </w:tcPr>
          <w:p w14:paraId="6D797B9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w:t>
            </w:r>
          </w:p>
        </w:tc>
      </w:tr>
      <w:tr w:rsidR="0014483B" w14:paraId="18ACDA6C" w14:textId="77777777">
        <w:tc>
          <w:tcPr>
            <w:tcW w:w="504" w:type="pct"/>
            <w:vMerge/>
          </w:tcPr>
          <w:p w14:paraId="3001FD1E"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shd w:val="clear" w:color="auto" w:fill="auto"/>
            <w:vAlign w:val="center"/>
          </w:tcPr>
          <w:p w14:paraId="575837C5"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供应链</w:t>
            </w:r>
          </w:p>
        </w:tc>
        <w:tc>
          <w:tcPr>
            <w:tcW w:w="468" w:type="pct"/>
            <w:shd w:val="clear" w:color="auto" w:fill="auto"/>
            <w:vAlign w:val="center"/>
          </w:tcPr>
          <w:p w14:paraId="6E60728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c>
          <w:tcPr>
            <w:tcW w:w="827" w:type="pct"/>
            <w:shd w:val="clear" w:color="auto" w:fill="auto"/>
            <w:vAlign w:val="center"/>
          </w:tcPr>
          <w:p w14:paraId="0516AFD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供应链管理</w:t>
            </w:r>
          </w:p>
        </w:tc>
        <w:tc>
          <w:tcPr>
            <w:tcW w:w="3230" w:type="dxa"/>
            <w:shd w:val="clear" w:color="auto" w:fill="auto"/>
            <w:vAlign w:val="center"/>
          </w:tcPr>
          <w:p w14:paraId="52638153"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建立供应商ESG的管理、评价和监测程序，将ESG要求纳入到供应商考核与日常管理中，保障供应商的行为符合ESG标准并持续改善，建立绿色采购政策。</w:t>
            </w:r>
          </w:p>
        </w:tc>
        <w:tc>
          <w:tcPr>
            <w:tcW w:w="499" w:type="pct"/>
            <w:vAlign w:val="center"/>
          </w:tcPr>
          <w:p w14:paraId="4E6520E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r w:rsidR="0014483B" w14:paraId="2F77E48B" w14:textId="77777777">
        <w:tc>
          <w:tcPr>
            <w:tcW w:w="504" w:type="pct"/>
            <w:vMerge/>
          </w:tcPr>
          <w:p w14:paraId="3A442F29"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val="restart"/>
            <w:shd w:val="clear" w:color="auto" w:fill="auto"/>
            <w:vAlign w:val="center"/>
          </w:tcPr>
          <w:p w14:paraId="64D20E2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社区</w:t>
            </w:r>
          </w:p>
        </w:tc>
        <w:tc>
          <w:tcPr>
            <w:tcW w:w="468" w:type="pct"/>
            <w:vMerge w:val="restart"/>
            <w:shd w:val="clear" w:color="auto" w:fill="auto"/>
            <w:vAlign w:val="center"/>
          </w:tcPr>
          <w:p w14:paraId="6975312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827" w:type="pct"/>
            <w:shd w:val="clear" w:color="auto" w:fill="auto"/>
            <w:vAlign w:val="center"/>
          </w:tcPr>
          <w:p w14:paraId="4FEC6ABB"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社会贡献</w:t>
            </w:r>
          </w:p>
        </w:tc>
        <w:tc>
          <w:tcPr>
            <w:tcW w:w="3230" w:type="dxa"/>
            <w:shd w:val="clear" w:color="auto" w:fill="auto"/>
            <w:vAlign w:val="center"/>
          </w:tcPr>
          <w:p w14:paraId="3BC76A8A"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积极响应国家重大战略，如巩固脱贫攻坚成果、乡村振兴等。</w:t>
            </w:r>
          </w:p>
        </w:tc>
        <w:tc>
          <w:tcPr>
            <w:tcW w:w="499" w:type="pct"/>
            <w:vAlign w:val="center"/>
          </w:tcPr>
          <w:p w14:paraId="6C4F0B78"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14483B" w14:paraId="3826964A" w14:textId="77777777">
        <w:tc>
          <w:tcPr>
            <w:tcW w:w="504" w:type="pct"/>
            <w:vMerge/>
          </w:tcPr>
          <w:p w14:paraId="25877C58"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59B9F942"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4E9C4925"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5CAEE70F"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社区服务</w:t>
            </w:r>
          </w:p>
        </w:tc>
        <w:tc>
          <w:tcPr>
            <w:tcW w:w="3230" w:type="dxa"/>
            <w:shd w:val="clear" w:color="auto" w:fill="auto"/>
            <w:vAlign w:val="center"/>
          </w:tcPr>
          <w:p w14:paraId="3CE30364"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发挥自身资源、技术等方面的优势，在教育文体、医疗健康、环境保护、基础设施、扶贫赈灾等方面为社区提供力所能及的支持和帮助。</w:t>
            </w:r>
          </w:p>
        </w:tc>
        <w:tc>
          <w:tcPr>
            <w:tcW w:w="499" w:type="pct"/>
            <w:vAlign w:val="center"/>
          </w:tcPr>
          <w:p w14:paraId="6C05DE1B"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r w:rsidR="0014483B" w14:paraId="6444EE76" w14:textId="77777777">
        <w:tc>
          <w:tcPr>
            <w:tcW w:w="504" w:type="pct"/>
            <w:vMerge/>
          </w:tcPr>
          <w:p w14:paraId="3B605EB0"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7B1D5C8D"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30748C87"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023FE1E7"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社区参与</w:t>
            </w:r>
          </w:p>
        </w:tc>
        <w:tc>
          <w:tcPr>
            <w:tcW w:w="3230" w:type="dxa"/>
            <w:shd w:val="clear" w:color="auto" w:fill="auto"/>
            <w:vAlign w:val="center"/>
          </w:tcPr>
          <w:p w14:paraId="67C9F9A3"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积极服务当地社区，为当地社区创造就业机会，在当地社区开展采购，支持当地社区公共基础设施建设。</w:t>
            </w:r>
          </w:p>
        </w:tc>
        <w:tc>
          <w:tcPr>
            <w:tcW w:w="499" w:type="pct"/>
            <w:vAlign w:val="center"/>
          </w:tcPr>
          <w:p w14:paraId="4A7ACE30"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r>
      <w:tr w:rsidR="0014483B" w14:paraId="726273B2" w14:textId="77777777">
        <w:tc>
          <w:tcPr>
            <w:tcW w:w="504" w:type="pct"/>
            <w:vMerge w:val="restart"/>
            <w:vAlign w:val="center"/>
          </w:tcPr>
          <w:p w14:paraId="437D1BB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管治</w:t>
            </w:r>
          </w:p>
        </w:tc>
        <w:tc>
          <w:tcPr>
            <w:tcW w:w="850" w:type="pct"/>
            <w:vMerge w:val="restart"/>
            <w:shd w:val="clear" w:color="auto" w:fill="auto"/>
            <w:vAlign w:val="center"/>
          </w:tcPr>
          <w:p w14:paraId="319CA561"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ESG管理</w:t>
            </w:r>
          </w:p>
        </w:tc>
        <w:tc>
          <w:tcPr>
            <w:tcW w:w="468" w:type="pct"/>
            <w:vMerge w:val="restart"/>
            <w:shd w:val="clear" w:color="auto" w:fill="auto"/>
            <w:vAlign w:val="center"/>
          </w:tcPr>
          <w:p w14:paraId="61813DAC"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827" w:type="pct"/>
            <w:shd w:val="clear" w:color="auto" w:fill="auto"/>
            <w:vAlign w:val="center"/>
          </w:tcPr>
          <w:p w14:paraId="3627DB9B"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ESG规划</w:t>
            </w:r>
          </w:p>
        </w:tc>
        <w:tc>
          <w:tcPr>
            <w:tcW w:w="3230" w:type="dxa"/>
            <w:shd w:val="clear" w:color="auto" w:fill="auto"/>
            <w:vAlign w:val="center"/>
          </w:tcPr>
          <w:p w14:paraId="3220A745"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制定由企业所有者或高级管理层承诺的ESG战略和目标，建立ESG发展配套工作机制。</w:t>
            </w:r>
          </w:p>
        </w:tc>
        <w:tc>
          <w:tcPr>
            <w:tcW w:w="499" w:type="pct"/>
            <w:vAlign w:val="center"/>
          </w:tcPr>
          <w:p w14:paraId="29BDD35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4483B" w14:paraId="5AADCCEC" w14:textId="77777777">
        <w:tc>
          <w:tcPr>
            <w:tcW w:w="504" w:type="pct"/>
            <w:vMerge/>
          </w:tcPr>
          <w:p w14:paraId="45FD567F" w14:textId="77777777" w:rsidR="0014483B" w:rsidRDefault="0014483B">
            <w:pPr>
              <w:pStyle w:val="af4"/>
              <w:ind w:firstLineChars="0" w:firstLine="0"/>
              <w:rPr>
                <w:rFonts w:ascii="仿宋_GB2312" w:eastAsia="仿宋_GB2312" w:hAnsi="仿宋_GB2312" w:cs="仿宋_GB2312"/>
                <w:sz w:val="28"/>
                <w:szCs w:val="28"/>
              </w:rPr>
            </w:pPr>
          </w:p>
        </w:tc>
        <w:tc>
          <w:tcPr>
            <w:tcW w:w="850" w:type="pct"/>
            <w:vMerge/>
            <w:shd w:val="clear" w:color="auto" w:fill="auto"/>
            <w:vAlign w:val="center"/>
          </w:tcPr>
          <w:p w14:paraId="22EC1018"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553226E9"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000B895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ESG沟通</w:t>
            </w:r>
          </w:p>
        </w:tc>
        <w:tc>
          <w:tcPr>
            <w:tcW w:w="3230" w:type="dxa"/>
            <w:shd w:val="clear" w:color="auto" w:fill="auto"/>
            <w:vAlign w:val="center"/>
          </w:tcPr>
          <w:p w14:paraId="55A0C07F"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建立利益相关方沟通机制，回应利益相关方诉求并识别利益相关方实质性利益和期望，准确披露ESG信息。</w:t>
            </w:r>
          </w:p>
        </w:tc>
        <w:tc>
          <w:tcPr>
            <w:tcW w:w="499" w:type="pct"/>
            <w:vAlign w:val="center"/>
          </w:tcPr>
          <w:p w14:paraId="1305A594"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4483B" w14:paraId="29BD78D3" w14:textId="77777777">
        <w:tc>
          <w:tcPr>
            <w:tcW w:w="504" w:type="pct"/>
            <w:vMerge/>
          </w:tcPr>
          <w:p w14:paraId="589B4F60" w14:textId="77777777" w:rsidR="0014483B" w:rsidRDefault="0014483B">
            <w:pPr>
              <w:pStyle w:val="af4"/>
              <w:ind w:firstLineChars="0" w:firstLine="0"/>
              <w:rPr>
                <w:rFonts w:ascii="仿宋_GB2312" w:eastAsia="仿宋_GB2312" w:hAnsi="仿宋_GB2312" w:cs="仿宋_GB2312"/>
                <w:sz w:val="28"/>
                <w:szCs w:val="28"/>
              </w:rPr>
            </w:pPr>
          </w:p>
        </w:tc>
        <w:tc>
          <w:tcPr>
            <w:tcW w:w="850" w:type="pct"/>
            <w:vMerge/>
            <w:shd w:val="clear" w:color="auto" w:fill="auto"/>
            <w:vAlign w:val="center"/>
          </w:tcPr>
          <w:p w14:paraId="59410751"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2EC2886B"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77F82A1D"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ESG能力</w:t>
            </w:r>
          </w:p>
        </w:tc>
        <w:tc>
          <w:tcPr>
            <w:tcW w:w="3230" w:type="dxa"/>
            <w:shd w:val="clear" w:color="auto" w:fill="auto"/>
            <w:vAlign w:val="center"/>
          </w:tcPr>
          <w:p w14:paraId="0674920D"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开展ESG培训，提升员工对ESG理念、ESG管理工具及ESG发展趋势的认识和了解。</w:t>
            </w:r>
          </w:p>
        </w:tc>
        <w:tc>
          <w:tcPr>
            <w:tcW w:w="499" w:type="pct"/>
            <w:vAlign w:val="center"/>
          </w:tcPr>
          <w:p w14:paraId="4113A56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4483B" w14:paraId="3291599D" w14:textId="77777777">
        <w:tc>
          <w:tcPr>
            <w:tcW w:w="504" w:type="pct"/>
            <w:vMerge/>
          </w:tcPr>
          <w:p w14:paraId="64D0FBA9"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val="restart"/>
            <w:shd w:val="clear" w:color="auto" w:fill="auto"/>
            <w:vAlign w:val="center"/>
          </w:tcPr>
          <w:p w14:paraId="40536766"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公司治理</w:t>
            </w:r>
          </w:p>
        </w:tc>
        <w:tc>
          <w:tcPr>
            <w:tcW w:w="468" w:type="pct"/>
            <w:vMerge w:val="restart"/>
            <w:shd w:val="clear" w:color="auto" w:fill="auto"/>
            <w:vAlign w:val="center"/>
          </w:tcPr>
          <w:p w14:paraId="5AB2883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827" w:type="pct"/>
            <w:shd w:val="clear" w:color="auto" w:fill="auto"/>
            <w:vAlign w:val="center"/>
          </w:tcPr>
          <w:p w14:paraId="0E1FE5B2"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董事会</w:t>
            </w:r>
          </w:p>
        </w:tc>
        <w:tc>
          <w:tcPr>
            <w:tcW w:w="3230" w:type="dxa"/>
            <w:shd w:val="clear" w:color="auto" w:fill="auto"/>
            <w:vAlign w:val="center"/>
          </w:tcPr>
          <w:p w14:paraId="78BB96FB"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企业董事会成员人数、性别比例、学历、专业技能等情况。</w:t>
            </w:r>
          </w:p>
        </w:tc>
        <w:tc>
          <w:tcPr>
            <w:tcW w:w="499" w:type="pct"/>
            <w:vAlign w:val="center"/>
          </w:tcPr>
          <w:p w14:paraId="4F9C19A9"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r>
      <w:tr w:rsidR="0014483B" w14:paraId="086BA015" w14:textId="77777777">
        <w:tc>
          <w:tcPr>
            <w:tcW w:w="504" w:type="pct"/>
            <w:vMerge/>
          </w:tcPr>
          <w:p w14:paraId="0D27A11F"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445CE7DF"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3B382609"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741800CE"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管治</w:t>
            </w:r>
          </w:p>
        </w:tc>
        <w:tc>
          <w:tcPr>
            <w:tcW w:w="3230" w:type="dxa"/>
            <w:shd w:val="clear" w:color="auto" w:fill="auto"/>
            <w:vAlign w:val="center"/>
          </w:tcPr>
          <w:p w14:paraId="57E3E15C"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建立良好有序的治理结构，建立完善制度防范利益冲突，保证中小股东的知情权、席位、话语权以及自由转让股份权、异议小股东的退股权。</w:t>
            </w:r>
          </w:p>
        </w:tc>
        <w:tc>
          <w:tcPr>
            <w:tcW w:w="499" w:type="pct"/>
            <w:vAlign w:val="center"/>
          </w:tcPr>
          <w:p w14:paraId="5C497072"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4483B" w14:paraId="0415BAE5" w14:textId="77777777">
        <w:tc>
          <w:tcPr>
            <w:tcW w:w="504" w:type="pct"/>
            <w:vMerge/>
          </w:tcPr>
          <w:p w14:paraId="23E8F0DD" w14:textId="77777777" w:rsidR="0014483B" w:rsidRDefault="0014483B">
            <w:pPr>
              <w:pStyle w:val="af4"/>
              <w:ind w:firstLineChars="0" w:firstLine="0"/>
              <w:jc w:val="center"/>
              <w:rPr>
                <w:rFonts w:ascii="仿宋_GB2312" w:eastAsia="仿宋_GB2312" w:hAnsi="仿宋_GB2312" w:cs="仿宋_GB2312"/>
                <w:sz w:val="28"/>
                <w:szCs w:val="28"/>
              </w:rPr>
            </w:pPr>
          </w:p>
        </w:tc>
        <w:tc>
          <w:tcPr>
            <w:tcW w:w="850" w:type="pct"/>
            <w:vMerge/>
            <w:shd w:val="clear" w:color="auto" w:fill="auto"/>
            <w:vAlign w:val="center"/>
          </w:tcPr>
          <w:p w14:paraId="3A6D20B5" w14:textId="77777777" w:rsidR="0014483B" w:rsidRDefault="0014483B">
            <w:pPr>
              <w:pStyle w:val="af4"/>
              <w:ind w:firstLineChars="0" w:firstLine="0"/>
              <w:jc w:val="center"/>
              <w:rPr>
                <w:rFonts w:ascii="仿宋_GB2312" w:eastAsia="仿宋_GB2312" w:hAnsi="仿宋_GB2312" w:cs="仿宋_GB2312"/>
                <w:sz w:val="28"/>
                <w:szCs w:val="28"/>
              </w:rPr>
            </w:pPr>
          </w:p>
        </w:tc>
        <w:tc>
          <w:tcPr>
            <w:tcW w:w="468" w:type="pct"/>
            <w:vMerge/>
            <w:shd w:val="clear" w:color="auto" w:fill="auto"/>
            <w:vAlign w:val="center"/>
          </w:tcPr>
          <w:p w14:paraId="078C921B" w14:textId="77777777" w:rsidR="0014483B" w:rsidRDefault="0014483B">
            <w:pPr>
              <w:pStyle w:val="af4"/>
              <w:ind w:firstLineChars="0" w:firstLine="0"/>
              <w:jc w:val="center"/>
              <w:rPr>
                <w:rFonts w:ascii="仿宋_GB2312" w:eastAsia="仿宋_GB2312" w:hAnsi="仿宋_GB2312" w:cs="仿宋_GB2312"/>
                <w:sz w:val="28"/>
                <w:szCs w:val="28"/>
              </w:rPr>
            </w:pPr>
          </w:p>
        </w:tc>
        <w:tc>
          <w:tcPr>
            <w:tcW w:w="827" w:type="pct"/>
            <w:shd w:val="clear" w:color="auto" w:fill="auto"/>
            <w:vAlign w:val="center"/>
          </w:tcPr>
          <w:p w14:paraId="36CDBAD3"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商业道德</w:t>
            </w:r>
          </w:p>
        </w:tc>
        <w:tc>
          <w:tcPr>
            <w:tcW w:w="3230" w:type="dxa"/>
            <w:shd w:val="clear" w:color="auto" w:fill="auto"/>
            <w:vAlign w:val="center"/>
          </w:tcPr>
          <w:p w14:paraId="0D850028" w14:textId="77777777" w:rsidR="0014483B" w:rsidRDefault="00312470">
            <w:pPr>
              <w:pStyle w:val="af4"/>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建立反腐败、反舞弊专项制度和举报者保护制度，谨防不当竞争与垄断倾销等情况。</w:t>
            </w:r>
          </w:p>
        </w:tc>
        <w:tc>
          <w:tcPr>
            <w:tcW w:w="499" w:type="pct"/>
            <w:vAlign w:val="center"/>
          </w:tcPr>
          <w:p w14:paraId="4263A74B" w14:textId="77777777" w:rsidR="0014483B" w:rsidRDefault="00312470">
            <w:pPr>
              <w:pStyle w:val="af4"/>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bookmarkEnd w:id="22"/>
    </w:tbl>
    <w:p w14:paraId="50AFA414" w14:textId="77777777" w:rsidR="0014483B" w:rsidRDefault="00312470">
      <w:pPr>
        <w:widowControl/>
        <w:jc w:val="left"/>
        <w:rPr>
          <w:rFonts w:ascii="仿宋" w:eastAsia="仿宋" w:hAnsi="仿宋"/>
          <w:sz w:val="32"/>
          <w:szCs w:val="32"/>
        </w:rPr>
      </w:pPr>
      <w:r>
        <w:rPr>
          <w:rFonts w:ascii="仿宋" w:eastAsia="仿宋" w:hAnsi="仿宋"/>
          <w:sz w:val="32"/>
          <w:szCs w:val="32"/>
        </w:rPr>
        <w:br w:type="page"/>
      </w:r>
    </w:p>
    <w:p w14:paraId="7D3678A4" w14:textId="77777777" w:rsidR="0014483B" w:rsidRDefault="0014483B">
      <w:pPr>
        <w:pStyle w:val="1"/>
        <w:numPr>
          <w:ilvl w:val="0"/>
          <w:numId w:val="0"/>
        </w:numPr>
        <w:ind w:left="720" w:hanging="720"/>
        <w:jc w:val="center"/>
      </w:pPr>
      <w:bookmarkStart w:id="23" w:name="_Toc34051031"/>
      <w:bookmarkStart w:id="24" w:name="_Toc80608350"/>
      <w:bookmarkStart w:id="25" w:name="_Toc504362616"/>
      <w:bookmarkStart w:id="26" w:name="BKCKWX"/>
      <w:bookmarkStart w:id="27" w:name="_Toc89351219"/>
      <w:bookmarkStart w:id="28" w:name="_Toc59534094"/>
    </w:p>
    <w:p w14:paraId="2DBF2291" w14:textId="77777777" w:rsidR="0014483B" w:rsidRDefault="00312470">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参</w:t>
      </w:r>
      <w:r>
        <w:rPr>
          <w:rFonts w:ascii="Times New Roman" w:eastAsia="方正小标宋简体" w:hAnsi="Times New Roman" w:cs="Times New Roman" w:hint="eastAsia"/>
          <w:sz w:val="44"/>
          <w:szCs w:val="44"/>
        </w:rPr>
        <w:t xml:space="preserve"> </w:t>
      </w:r>
      <w:r>
        <w:rPr>
          <w:rFonts w:ascii="Times New Roman" w:eastAsia="方正小标宋简体" w:hAnsi="Times New Roman" w:cs="Times New Roman" w:hint="eastAsia"/>
          <w:sz w:val="44"/>
          <w:szCs w:val="44"/>
        </w:rPr>
        <w:t>考</w:t>
      </w:r>
      <w:r>
        <w:rPr>
          <w:rFonts w:ascii="Times New Roman" w:eastAsia="方正小标宋简体" w:hAnsi="Times New Roman" w:cs="Times New Roman" w:hint="eastAsia"/>
          <w:sz w:val="44"/>
          <w:szCs w:val="44"/>
        </w:rPr>
        <w:t xml:space="preserve"> </w:t>
      </w:r>
      <w:r>
        <w:rPr>
          <w:rFonts w:ascii="Times New Roman" w:eastAsia="方正小标宋简体" w:hAnsi="Times New Roman" w:cs="Times New Roman" w:hint="eastAsia"/>
          <w:sz w:val="44"/>
          <w:szCs w:val="44"/>
        </w:rPr>
        <w:t>文</w:t>
      </w:r>
      <w:r>
        <w:rPr>
          <w:rFonts w:ascii="Times New Roman" w:eastAsia="方正小标宋简体" w:hAnsi="Times New Roman" w:cs="Times New Roman" w:hint="eastAsia"/>
          <w:sz w:val="44"/>
          <w:szCs w:val="44"/>
        </w:rPr>
        <w:t xml:space="preserve"> </w:t>
      </w:r>
      <w:r>
        <w:rPr>
          <w:rFonts w:ascii="Times New Roman" w:eastAsia="方正小标宋简体" w:hAnsi="Times New Roman" w:cs="Times New Roman" w:hint="eastAsia"/>
          <w:sz w:val="44"/>
          <w:szCs w:val="44"/>
        </w:rPr>
        <w:t>献</w:t>
      </w:r>
      <w:bookmarkEnd w:id="23"/>
      <w:bookmarkEnd w:id="24"/>
      <w:bookmarkEnd w:id="25"/>
      <w:bookmarkEnd w:id="26"/>
      <w:bookmarkEnd w:id="27"/>
      <w:bookmarkEnd w:id="28"/>
    </w:p>
    <w:p w14:paraId="189DD93D" w14:textId="77777777" w:rsidR="0014483B" w:rsidRDefault="0014483B"/>
    <w:p w14:paraId="7AA3B45A" w14:textId="77777777" w:rsidR="0014483B" w:rsidRDefault="00312470">
      <w:pPr>
        <w:spacing w:line="588" w:lineRule="exact"/>
        <w:rPr>
          <w:rFonts w:ascii="仿宋_GB2312" w:eastAsia="仿宋_GB2312" w:hAnsi="仿宋_GB2312" w:cs="仿宋_GB2312"/>
          <w:sz w:val="32"/>
          <w:szCs w:val="32"/>
        </w:rPr>
      </w:pPr>
      <w:bookmarkStart w:id="29" w:name="_Hlk80556112"/>
      <w:r>
        <w:rPr>
          <w:rFonts w:ascii="仿宋_GB2312" w:eastAsia="仿宋_GB2312" w:hAnsi="仿宋_GB2312" w:cs="仿宋_GB2312" w:hint="eastAsia"/>
          <w:sz w:val="32"/>
          <w:szCs w:val="32"/>
        </w:rPr>
        <w:t>[1] GB/T 19001-2016 质量管理体系 要求</w:t>
      </w:r>
    </w:p>
    <w:p w14:paraId="754ACD90"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 GB/T 23331-2012 能源管理体系 要求</w:t>
      </w:r>
    </w:p>
    <w:p w14:paraId="51BD0AAB"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 GB/T 24001-2016 环境管理体系 要求及使用指南</w:t>
      </w:r>
    </w:p>
    <w:p w14:paraId="5C4F179D"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 GB/T 26317-2010 公司治理风险管理指南</w:t>
      </w:r>
    </w:p>
    <w:p w14:paraId="6149C58A"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 GB/T 36000-2015 社会责任指南</w:t>
      </w:r>
    </w:p>
    <w:p w14:paraId="662C215D"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 GB/T 39604-2020 社会责任管理体系 要求及使用指南</w:t>
      </w:r>
    </w:p>
    <w:p w14:paraId="4608CBA5"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 GB/T 45001-2020 职业健康安全管理体系 要求及使用指南</w:t>
      </w:r>
    </w:p>
    <w:p w14:paraId="5A795121"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[8]《可持续发展报告统一指南》全球报告倡议组织</w:t>
      </w:r>
    </w:p>
    <w:p w14:paraId="7B2A572C"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[9]《上海证券交易所上市公司环境信息披露指引》 上海证券交易所 2008.5.14</w:t>
      </w:r>
    </w:p>
    <w:p w14:paraId="225F1A50" w14:textId="77777777" w:rsidR="0014483B" w:rsidRDefault="00312470">
      <w:pPr>
        <w:spacing w:line="588"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[10]《深圳证券交易所上市公司社会责任指引》 深圳证券交易所 2006.9.25</w:t>
      </w:r>
    </w:p>
    <w:p w14:paraId="3581351F" w14:textId="77777777" w:rsidR="0014483B" w:rsidRDefault="00312470">
      <w:pPr>
        <w:spacing w:line="588" w:lineRule="exact"/>
        <w:rPr>
          <w:rFonts w:ascii="仿宋_GB2312" w:eastAsia="仿宋_GB2312" w:hAnsi="仿宋_GB2312" w:cs="仿宋_GB2312"/>
          <w:sz w:val="32"/>
          <w:szCs w:val="32"/>
          <w:lang w:eastAsia="zh-Hans"/>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lang w:eastAsia="zh-Hans"/>
        </w:rPr>
        <w:t>《环境、社会及管治报告指引》香港联合交易所 2019.12.18</w:t>
      </w:r>
    </w:p>
    <w:p w14:paraId="38DFB9BC" w14:textId="77777777" w:rsidR="0014483B" w:rsidRDefault="0014483B">
      <w:pPr>
        <w:pStyle w:val="af4"/>
        <w:ind w:firstLineChars="0" w:firstLine="0"/>
        <w:rPr>
          <w:rFonts w:ascii="仿宋" w:eastAsia="仿宋" w:hAnsi="仿宋"/>
          <w:sz w:val="28"/>
          <w:szCs w:val="28"/>
        </w:rPr>
      </w:pPr>
    </w:p>
    <w:bookmarkEnd w:id="29"/>
    <w:p w14:paraId="79E5221B" w14:textId="77777777" w:rsidR="0014483B" w:rsidRDefault="0014483B">
      <w:pPr>
        <w:pStyle w:val="a1"/>
      </w:pPr>
    </w:p>
    <w:sectPr w:rsidR="0014483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67E5" w14:textId="77777777" w:rsidR="00E43CF3" w:rsidRDefault="00E43CF3">
      <w:r>
        <w:separator/>
      </w:r>
    </w:p>
  </w:endnote>
  <w:endnote w:type="continuationSeparator" w:id="0">
    <w:p w14:paraId="26D8D89F" w14:textId="77777777" w:rsidR="00E43CF3" w:rsidRDefault="00E4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3071" w14:textId="77777777" w:rsidR="0014483B" w:rsidRDefault="0014483B">
    <w:pPr>
      <w:pStyle w:val="a9"/>
      <w:jc w:val="center"/>
    </w:pPr>
  </w:p>
  <w:p w14:paraId="1A9F3B4A" w14:textId="77777777" w:rsidR="0014483B" w:rsidRDefault="001448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36117"/>
    </w:sdtPr>
    <w:sdtEndPr/>
    <w:sdtContent>
      <w:p w14:paraId="78C1C863" w14:textId="77777777" w:rsidR="0014483B" w:rsidRDefault="00312470">
        <w:pPr>
          <w:pStyle w:val="a9"/>
          <w:jc w:val="center"/>
        </w:pPr>
        <w:r>
          <w:fldChar w:fldCharType="begin"/>
        </w:r>
        <w:r>
          <w:instrText>PAGE   \* MERGEFORMAT</w:instrText>
        </w:r>
        <w:r>
          <w:fldChar w:fldCharType="separate"/>
        </w:r>
        <w:r>
          <w:rPr>
            <w:lang w:val="zh-CN"/>
          </w:rPr>
          <w:t>2</w:t>
        </w:r>
        <w:r>
          <w:fldChar w:fldCharType="end"/>
        </w:r>
      </w:p>
    </w:sdtContent>
  </w:sdt>
  <w:p w14:paraId="3D317E8B" w14:textId="77777777" w:rsidR="0014483B" w:rsidRDefault="001448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753F" w14:textId="77777777" w:rsidR="00E43CF3" w:rsidRDefault="00E43CF3">
      <w:r>
        <w:separator/>
      </w:r>
    </w:p>
  </w:footnote>
  <w:footnote w:type="continuationSeparator" w:id="0">
    <w:p w14:paraId="2CDA5484" w14:textId="77777777" w:rsidR="00E43CF3" w:rsidRDefault="00E43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86B"/>
    <w:multiLevelType w:val="multilevel"/>
    <w:tmpl w:val="0AAC086B"/>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E6039BD"/>
    <w:multiLevelType w:val="multilevel"/>
    <w:tmpl w:val="0E6039BD"/>
    <w:lvl w:ilvl="0">
      <w:start w:val="1"/>
      <w:numFmt w:val="japaneseCounting"/>
      <w:pStyle w:val="1"/>
      <w:lvlText w:val="%1、"/>
      <w:lvlJc w:val="left"/>
      <w:pPr>
        <w:ind w:left="1350" w:hanging="720"/>
      </w:pPr>
      <w:rPr>
        <w:rFonts w:hint="default"/>
      </w:rPr>
    </w:lvl>
    <w:lvl w:ilvl="1">
      <w:start w:val="1"/>
      <w:numFmt w:val="decimalEnclosedCircle"/>
      <w:lvlText w:val="%2"/>
      <w:lvlJc w:val="left"/>
      <w:pPr>
        <w:ind w:left="1410" w:hanging="360"/>
      </w:pPr>
      <w:rPr>
        <w:rFonts w:hint="default"/>
      </w:r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15:restartNumberingAfterBreak="0">
    <w:nsid w:val="1FC91163"/>
    <w:multiLevelType w:val="multilevel"/>
    <w:tmpl w:val="1FC91163"/>
    <w:lvl w:ilvl="0">
      <w:start w:val="1"/>
      <w:numFmt w:val="decimal"/>
      <w:suff w:val="nothing"/>
      <w:lvlText w:val="%1　"/>
      <w:lvlJc w:val="left"/>
      <w:pPr>
        <w:ind w:left="2126" w:firstLine="0"/>
      </w:pPr>
      <w:rPr>
        <w:rFonts w:ascii="黑体" w:eastAsia="黑体" w:hAnsi="Times New Roman" w:hint="eastAsia"/>
        <w:b w:val="0"/>
        <w:i w:val="0"/>
        <w:sz w:val="21"/>
        <w:szCs w:val="21"/>
      </w:rPr>
    </w:lvl>
    <w:lvl w:ilvl="1">
      <w:start w:val="1"/>
      <w:numFmt w:val="decimal"/>
      <w:pStyle w:val="a"/>
      <w:suff w:val="nothing"/>
      <w:lvlText w:val="%1.%2　"/>
      <w:lvlJc w:val="left"/>
      <w:pPr>
        <w:ind w:left="283"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85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31FF3D03"/>
    <w:multiLevelType w:val="multilevel"/>
    <w:tmpl w:val="31FF3D03"/>
    <w:lvl w:ilvl="0">
      <w:start w:val="1"/>
      <w:numFmt w:val="japaneseCounting"/>
      <w:pStyle w:val="2"/>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3"/>
  </w:num>
  <w:num w:numId="3">
    <w:abstractNumId w:val="2"/>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CB"/>
    <w:rsid w:val="8B6F5A16"/>
    <w:rsid w:val="B625DBC5"/>
    <w:rsid w:val="B72D7ECB"/>
    <w:rsid w:val="E6FF1268"/>
    <w:rsid w:val="F2EB6021"/>
    <w:rsid w:val="FCFFC9D9"/>
    <w:rsid w:val="00060E6E"/>
    <w:rsid w:val="00062836"/>
    <w:rsid w:val="00062F22"/>
    <w:rsid w:val="00066671"/>
    <w:rsid w:val="000814C1"/>
    <w:rsid w:val="000E023B"/>
    <w:rsid w:val="00112A0B"/>
    <w:rsid w:val="00116A9A"/>
    <w:rsid w:val="00136A4C"/>
    <w:rsid w:val="0014483B"/>
    <w:rsid w:val="00191754"/>
    <w:rsid w:val="001B31BC"/>
    <w:rsid w:val="001C5F06"/>
    <w:rsid w:val="00233904"/>
    <w:rsid w:val="00265BDE"/>
    <w:rsid w:val="002C3078"/>
    <w:rsid w:val="002D03F4"/>
    <w:rsid w:val="00300AE7"/>
    <w:rsid w:val="00312470"/>
    <w:rsid w:val="0032237D"/>
    <w:rsid w:val="003330AE"/>
    <w:rsid w:val="003723D2"/>
    <w:rsid w:val="003756A3"/>
    <w:rsid w:val="003A2A93"/>
    <w:rsid w:val="003A6177"/>
    <w:rsid w:val="003A7F48"/>
    <w:rsid w:val="003C53C0"/>
    <w:rsid w:val="004255C4"/>
    <w:rsid w:val="00475384"/>
    <w:rsid w:val="00486295"/>
    <w:rsid w:val="004C21B2"/>
    <w:rsid w:val="004C45CB"/>
    <w:rsid w:val="00572528"/>
    <w:rsid w:val="0058406E"/>
    <w:rsid w:val="005A16CC"/>
    <w:rsid w:val="005A1B39"/>
    <w:rsid w:val="005A1E33"/>
    <w:rsid w:val="005A6611"/>
    <w:rsid w:val="005A7A54"/>
    <w:rsid w:val="005C6B20"/>
    <w:rsid w:val="005F462F"/>
    <w:rsid w:val="00604A0A"/>
    <w:rsid w:val="006259CD"/>
    <w:rsid w:val="00654B15"/>
    <w:rsid w:val="006A25EF"/>
    <w:rsid w:val="006D113B"/>
    <w:rsid w:val="006F09B7"/>
    <w:rsid w:val="00710408"/>
    <w:rsid w:val="00721451"/>
    <w:rsid w:val="00727268"/>
    <w:rsid w:val="00761D4B"/>
    <w:rsid w:val="007A0B75"/>
    <w:rsid w:val="007A4E1A"/>
    <w:rsid w:val="007D7B5B"/>
    <w:rsid w:val="007E5D67"/>
    <w:rsid w:val="00800013"/>
    <w:rsid w:val="008064F6"/>
    <w:rsid w:val="00826A3B"/>
    <w:rsid w:val="00835026"/>
    <w:rsid w:val="008522B5"/>
    <w:rsid w:val="008743B8"/>
    <w:rsid w:val="00884CEE"/>
    <w:rsid w:val="00892872"/>
    <w:rsid w:val="008A6DDD"/>
    <w:rsid w:val="008D512A"/>
    <w:rsid w:val="00900313"/>
    <w:rsid w:val="00924F19"/>
    <w:rsid w:val="00927791"/>
    <w:rsid w:val="00934F68"/>
    <w:rsid w:val="00960BB3"/>
    <w:rsid w:val="009A74A4"/>
    <w:rsid w:val="009B03E3"/>
    <w:rsid w:val="009C6665"/>
    <w:rsid w:val="009E195D"/>
    <w:rsid w:val="00A24DA1"/>
    <w:rsid w:val="00A37B38"/>
    <w:rsid w:val="00A521D5"/>
    <w:rsid w:val="00A610E3"/>
    <w:rsid w:val="00A76043"/>
    <w:rsid w:val="00A813CB"/>
    <w:rsid w:val="00A97187"/>
    <w:rsid w:val="00AA65C4"/>
    <w:rsid w:val="00AF4AED"/>
    <w:rsid w:val="00B4748E"/>
    <w:rsid w:val="00B928A6"/>
    <w:rsid w:val="00B96320"/>
    <w:rsid w:val="00BA5CBC"/>
    <w:rsid w:val="00C33E64"/>
    <w:rsid w:val="00C56324"/>
    <w:rsid w:val="00C57653"/>
    <w:rsid w:val="00C67F49"/>
    <w:rsid w:val="00C9074A"/>
    <w:rsid w:val="00CA109A"/>
    <w:rsid w:val="00CA32E8"/>
    <w:rsid w:val="00CA7678"/>
    <w:rsid w:val="00CC2315"/>
    <w:rsid w:val="00CD2825"/>
    <w:rsid w:val="00D1748B"/>
    <w:rsid w:val="00DF58F6"/>
    <w:rsid w:val="00E005D0"/>
    <w:rsid w:val="00E43CF3"/>
    <w:rsid w:val="00E46D17"/>
    <w:rsid w:val="00E6170D"/>
    <w:rsid w:val="00E67216"/>
    <w:rsid w:val="00EC3571"/>
    <w:rsid w:val="00F16B5C"/>
    <w:rsid w:val="00F331C9"/>
    <w:rsid w:val="00F350A6"/>
    <w:rsid w:val="00F554D8"/>
    <w:rsid w:val="00F669CC"/>
    <w:rsid w:val="00F71B19"/>
    <w:rsid w:val="00F72326"/>
    <w:rsid w:val="00F766A9"/>
    <w:rsid w:val="00F8654A"/>
    <w:rsid w:val="00FA49F8"/>
    <w:rsid w:val="00FB111C"/>
    <w:rsid w:val="00FB5BE4"/>
    <w:rsid w:val="02053239"/>
    <w:rsid w:val="054A106D"/>
    <w:rsid w:val="0A822B77"/>
    <w:rsid w:val="0B162BB8"/>
    <w:rsid w:val="0B7C2F22"/>
    <w:rsid w:val="30DF6754"/>
    <w:rsid w:val="35777939"/>
    <w:rsid w:val="35B06772"/>
    <w:rsid w:val="411510D6"/>
    <w:rsid w:val="42212AC4"/>
    <w:rsid w:val="44A623AF"/>
    <w:rsid w:val="487545CC"/>
    <w:rsid w:val="5D523DB2"/>
    <w:rsid w:val="5FCBF4D2"/>
    <w:rsid w:val="5FFD3142"/>
    <w:rsid w:val="6D354D63"/>
    <w:rsid w:val="71C0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83D1A7"/>
  <w15:docId w15:val="{F43EB041-0A81-4F71-BB68-5800BD71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pPr>
      <w:widowControl w:val="0"/>
      <w:jc w:val="both"/>
    </w:pPr>
    <w:rPr>
      <w:kern w:val="2"/>
      <w:sz w:val="21"/>
      <w:szCs w:val="22"/>
    </w:rPr>
  </w:style>
  <w:style w:type="paragraph" w:styleId="1">
    <w:name w:val="heading 1"/>
    <w:basedOn w:val="a2"/>
    <w:next w:val="a0"/>
    <w:link w:val="10"/>
    <w:uiPriority w:val="9"/>
    <w:qFormat/>
    <w:pPr>
      <w:framePr w:w="0" w:hRule="auto" w:wrap="auto" w:vAnchor="margin" w:hAnchor="text" w:xAlign="left" w:yAlign="inline"/>
      <w:numPr>
        <w:numId w:val="1"/>
      </w:numPr>
      <w:jc w:val="both"/>
      <w:outlineLvl w:val="0"/>
    </w:pPr>
    <w:rPr>
      <w:rFonts w:ascii="Times New Roman"/>
      <w:sz w:val="32"/>
      <w:szCs w:val="32"/>
    </w:rPr>
  </w:style>
  <w:style w:type="paragraph" w:styleId="2">
    <w:name w:val="heading 2"/>
    <w:basedOn w:val="a2"/>
    <w:next w:val="a0"/>
    <w:link w:val="20"/>
    <w:uiPriority w:val="9"/>
    <w:unhideWhenUsed/>
    <w:qFormat/>
    <w:pPr>
      <w:framePr w:w="0" w:hRule="auto" w:wrap="auto" w:vAnchor="margin" w:hAnchor="text" w:xAlign="left" w:yAlign="inline" w:anchorLock="0"/>
      <w:numPr>
        <w:numId w:val="2"/>
      </w:numPr>
      <w:jc w:val="both"/>
      <w:outlineLvl w:val="1"/>
    </w:pPr>
    <w:rPr>
      <w:rFonts w:ascii="Times New Roman"/>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a0"/>
    <w:qFormat/>
    <w:pPr>
      <w:spacing w:after="120"/>
    </w:pPr>
  </w:style>
  <w:style w:type="paragraph" w:customStyle="1" w:styleId="a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styleId="a6">
    <w:name w:val="caption"/>
    <w:basedOn w:val="a0"/>
    <w:next w:val="a0"/>
    <w:qFormat/>
    <w:pPr>
      <w:spacing w:before="152" w:after="160"/>
      <w:jc w:val="center"/>
    </w:pPr>
    <w:rPr>
      <w:rFonts w:ascii="Arial" w:eastAsia="黑体" w:hAnsi="Arial" w:cs="Arial"/>
      <w:szCs w:val="20"/>
    </w:rPr>
  </w:style>
  <w:style w:type="paragraph" w:styleId="a7">
    <w:name w:val="annotation text"/>
    <w:basedOn w:val="a0"/>
    <w:link w:val="a8"/>
    <w:uiPriority w:val="99"/>
    <w:semiHidden/>
    <w:unhideWhenUsed/>
    <w:qFormat/>
    <w:pPr>
      <w:jc w:val="left"/>
    </w:pPr>
  </w:style>
  <w:style w:type="paragraph" w:styleId="a9">
    <w:name w:val="footer"/>
    <w:basedOn w:val="a0"/>
    <w:link w:val="aa"/>
    <w:uiPriority w:val="99"/>
    <w:unhideWhenUsed/>
    <w:qFormat/>
    <w:pPr>
      <w:tabs>
        <w:tab w:val="center" w:pos="4153"/>
        <w:tab w:val="right" w:pos="8306"/>
      </w:tabs>
      <w:snapToGrid w:val="0"/>
      <w:jc w:val="left"/>
    </w:pPr>
    <w:rPr>
      <w:sz w:val="18"/>
      <w:szCs w:val="18"/>
    </w:rPr>
  </w:style>
  <w:style w:type="paragraph" w:styleId="ab">
    <w:name w:val="header"/>
    <w:basedOn w:val="a0"/>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style>
  <w:style w:type="paragraph" w:styleId="TOC2">
    <w:name w:val="toc 2"/>
    <w:basedOn w:val="a0"/>
    <w:next w:val="a0"/>
    <w:uiPriority w:val="39"/>
    <w:unhideWhenUsed/>
    <w:qFormat/>
    <w:pPr>
      <w:ind w:leftChars="200" w:left="420"/>
    </w:pPr>
  </w:style>
  <w:style w:type="paragraph" w:styleId="ad">
    <w:name w:val="Normal (Web)"/>
    <w:basedOn w:val="a0"/>
    <w:uiPriority w:val="99"/>
    <w:semiHidden/>
    <w:unhideWhenUsed/>
    <w:qFormat/>
    <w:pPr>
      <w:spacing w:beforeAutospacing="1" w:afterAutospacing="1"/>
      <w:jc w:val="left"/>
    </w:pPr>
    <w:rPr>
      <w:rFonts w:cs="Times New Roman"/>
      <w:kern w:val="0"/>
      <w:sz w:val="24"/>
    </w:rPr>
  </w:style>
  <w:style w:type="paragraph" w:styleId="ae">
    <w:name w:val="annotation subject"/>
    <w:basedOn w:val="a7"/>
    <w:next w:val="a7"/>
    <w:link w:val="af"/>
    <w:uiPriority w:val="99"/>
    <w:semiHidden/>
    <w:unhideWhenUsed/>
    <w:qFormat/>
    <w:rPr>
      <w:b/>
      <w:bCs/>
    </w:rPr>
  </w:style>
  <w:style w:type="table" w:styleId="af0">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3"/>
    <w:uiPriority w:val="99"/>
    <w:unhideWhenUsed/>
    <w:qFormat/>
    <w:rPr>
      <w:color w:val="0563C1" w:themeColor="hyperlink"/>
      <w:u w:val="single"/>
    </w:rPr>
  </w:style>
  <w:style w:type="character" w:styleId="af2">
    <w:name w:val="annotation reference"/>
    <w:basedOn w:val="a3"/>
    <w:uiPriority w:val="99"/>
    <w:semiHidden/>
    <w:unhideWhenUsed/>
    <w:qFormat/>
    <w:rPr>
      <w:sz w:val="21"/>
      <w:szCs w:val="21"/>
    </w:rPr>
  </w:style>
  <w:style w:type="paragraph" w:styleId="af3">
    <w:name w:val="List Paragraph"/>
    <w:basedOn w:val="a0"/>
    <w:uiPriority w:val="34"/>
    <w:qFormat/>
    <w:pPr>
      <w:ind w:firstLineChars="200" w:firstLine="420"/>
    </w:pPr>
  </w:style>
  <w:style w:type="paragraph" w:customStyle="1" w:styleId="Default">
    <w:name w:val="Default"/>
    <w:qFormat/>
    <w:pPr>
      <w:widowControl w:val="0"/>
      <w:autoSpaceDE w:val="0"/>
      <w:autoSpaceDN w:val="0"/>
      <w:adjustRightInd w:val="0"/>
    </w:pPr>
    <w:rPr>
      <w:rFonts w:ascii="等线" w:eastAsia="等线" w:cs="等线"/>
      <w:color w:val="000000"/>
      <w:sz w:val="24"/>
      <w:szCs w:val="24"/>
    </w:rPr>
  </w:style>
  <w:style w:type="character" w:customStyle="1" w:styleId="ac">
    <w:name w:val="页眉 字符"/>
    <w:basedOn w:val="a3"/>
    <w:link w:val="ab"/>
    <w:uiPriority w:val="99"/>
    <w:qFormat/>
    <w:rPr>
      <w:sz w:val="18"/>
      <w:szCs w:val="18"/>
    </w:rPr>
  </w:style>
  <w:style w:type="character" w:customStyle="1" w:styleId="aa">
    <w:name w:val="页脚 字符"/>
    <w:basedOn w:val="a3"/>
    <w:link w:val="a9"/>
    <w:uiPriority w:val="99"/>
    <w:qFormat/>
    <w:rPr>
      <w:sz w:val="18"/>
      <w:szCs w:val="18"/>
    </w:rPr>
  </w:style>
  <w:style w:type="character" w:customStyle="1" w:styleId="Char">
    <w:name w:val="段 Char"/>
    <w:link w:val="af4"/>
    <w:qFormat/>
    <w:rPr>
      <w:rFonts w:ascii="宋体"/>
    </w:rPr>
  </w:style>
  <w:style w:type="paragraph" w:customStyle="1" w:styleId="af4">
    <w:name w:val="段"/>
    <w:link w:val="Char"/>
    <w:qFormat/>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
    <w:name w:val="一级条标题"/>
    <w:next w:val="af4"/>
    <w:qFormat/>
    <w:pPr>
      <w:numPr>
        <w:ilvl w:val="1"/>
        <w:numId w:val="3"/>
      </w:numPr>
      <w:spacing w:beforeLines="50" w:before="156" w:afterLines="50" w:after="156"/>
      <w:outlineLvl w:val="2"/>
    </w:pPr>
    <w:rPr>
      <w:rFonts w:ascii="黑体" w:eastAsia="黑体" w:hAnsi="Times New Roman" w:cs="Times New Roman"/>
      <w:sz w:val="21"/>
      <w:szCs w:val="21"/>
    </w:rPr>
  </w:style>
  <w:style w:type="character" w:styleId="af5">
    <w:name w:val="Placeholder Text"/>
    <w:uiPriority w:val="99"/>
    <w:semiHidden/>
    <w:qFormat/>
    <w:rPr>
      <w:color w:val="808080"/>
    </w:rPr>
  </w:style>
  <w:style w:type="paragraph" w:customStyle="1" w:styleId="af6">
    <w:name w:val="章标题"/>
    <w:next w:val="af4"/>
    <w:qFormat/>
    <w:pPr>
      <w:spacing w:beforeLines="100" w:before="312" w:afterLines="100" w:after="312"/>
      <w:ind w:left="2126"/>
      <w:jc w:val="both"/>
      <w:outlineLvl w:val="1"/>
    </w:pPr>
    <w:rPr>
      <w:rFonts w:ascii="黑体" w:eastAsia="黑体" w:hAnsi="Times New Roman" w:cs="Times New Roman"/>
      <w:sz w:val="21"/>
    </w:rPr>
  </w:style>
  <w:style w:type="character" w:customStyle="1" w:styleId="10">
    <w:name w:val="标题 1 字符"/>
    <w:basedOn w:val="a3"/>
    <w:link w:val="1"/>
    <w:uiPriority w:val="9"/>
    <w:qFormat/>
    <w:rPr>
      <w:rFonts w:ascii="Times New Roman" w:eastAsia="黑体" w:hAnsi="Times New Roman" w:cs="Times New Roman"/>
      <w:kern w:val="0"/>
      <w:sz w:val="32"/>
      <w:szCs w:val="32"/>
    </w:rPr>
  </w:style>
  <w:style w:type="character" w:customStyle="1" w:styleId="20">
    <w:name w:val="标题 2 字符"/>
    <w:basedOn w:val="a3"/>
    <w:link w:val="2"/>
    <w:uiPriority w:val="9"/>
    <w:qFormat/>
    <w:rPr>
      <w:rFonts w:ascii="Times New Roman" w:eastAsia="黑体" w:hAnsi="Times New Roman" w:cs="Times New Roman"/>
      <w:kern w:val="0"/>
      <w:sz w:val="32"/>
      <w:szCs w:val="32"/>
    </w:rPr>
  </w:style>
  <w:style w:type="character" w:customStyle="1" w:styleId="a8">
    <w:name w:val="批注文字 字符"/>
    <w:basedOn w:val="a3"/>
    <w:link w:val="a7"/>
    <w:uiPriority w:val="99"/>
    <w:semiHidden/>
    <w:qFormat/>
  </w:style>
  <w:style w:type="character" w:customStyle="1" w:styleId="af">
    <w:name w:val="批注主题 字符"/>
    <w:basedOn w:val="a8"/>
    <w:link w:val="ae"/>
    <w:uiPriority w:val="99"/>
    <w:semiHidden/>
    <w:qFormat/>
    <w:rPr>
      <w:b/>
      <w:bCs/>
    </w:rPr>
  </w:style>
  <w:style w:type="paragraph" w:customStyle="1" w:styleId="af7">
    <w:name w:val="目次、标准名称标题"/>
    <w:basedOn w:val="a0"/>
    <w:next w:val="af4"/>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TOC10">
    <w:name w:val="TOC 标题1"/>
    <w:basedOn w:val="1"/>
    <w:next w:val="a0"/>
    <w:uiPriority w:val="39"/>
    <w:unhideWhenUsed/>
    <w:qFormat/>
    <w:pPr>
      <w:keepNext/>
      <w:keepLines/>
      <w:widowControl/>
      <w:numPr>
        <w:numId w:val="0"/>
      </w:numPr>
      <w:spacing w:before="240" w:line="259" w:lineRule="auto"/>
      <w:jc w:val="left"/>
      <w:textAlignment w:val="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 晨</dc:creator>
  <cp:lastModifiedBy>lons dong</cp:lastModifiedBy>
  <cp:revision>5</cp:revision>
  <cp:lastPrinted>2021-12-22T00:43:00Z</cp:lastPrinted>
  <dcterms:created xsi:type="dcterms:W3CDTF">2021-12-03T15:28:00Z</dcterms:created>
  <dcterms:modified xsi:type="dcterms:W3CDTF">2021-12-30T06:52:00Z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7E50BD07035A4BFCBB9CBDD79CD5A2BC</vt:lpwstr>
  </property>
</Properties>
</file>