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eastAsia="方正小标宋_GBK"/>
          <w:b/>
          <w:bCs/>
          <w:kern w:val="0"/>
          <w:sz w:val="44"/>
          <w:szCs w:val="44"/>
        </w:rPr>
      </w:pPr>
    </w:p>
    <w:p>
      <w:pPr>
        <w:widowControl/>
        <w:shd w:val="clear" w:color="auto" w:fill="FFFFFF"/>
        <w:jc w:val="center"/>
        <w:rPr>
          <w:rFonts w:eastAsia="方正小标宋_GBK"/>
          <w:b/>
          <w:bCs/>
          <w:kern w:val="0"/>
          <w:sz w:val="44"/>
          <w:szCs w:val="44"/>
        </w:rPr>
      </w:pPr>
    </w:p>
    <w:p>
      <w:pPr>
        <w:widowControl/>
        <w:shd w:val="clear" w:color="auto" w:fill="FFFFFF"/>
        <w:jc w:val="center"/>
        <w:rPr>
          <w:rFonts w:eastAsia="方正小标宋_GBK"/>
          <w:b/>
          <w:bCs/>
          <w:kern w:val="0"/>
          <w:sz w:val="44"/>
          <w:szCs w:val="44"/>
        </w:rPr>
      </w:pPr>
    </w:p>
    <w:p>
      <w:pPr>
        <w:widowControl/>
        <w:shd w:val="clear" w:color="auto" w:fill="FFFFFF"/>
        <w:jc w:val="center"/>
        <w:rPr>
          <w:rFonts w:eastAsia="方正小标宋_GBK"/>
          <w:b/>
          <w:bCs/>
          <w:kern w:val="0"/>
          <w:sz w:val="44"/>
          <w:szCs w:val="44"/>
        </w:rPr>
      </w:pPr>
      <w:r>
        <w:rPr>
          <w:rFonts w:eastAsia="方正小标宋_GBK"/>
          <w:b/>
          <w:bCs/>
          <w:kern w:val="0"/>
          <w:sz w:val="44"/>
          <w:szCs w:val="44"/>
        </w:rPr>
        <w:t>中国（天津）自由贸易试验区管理委员会</w:t>
      </w:r>
    </w:p>
    <w:p>
      <w:pPr>
        <w:widowControl/>
        <w:shd w:val="clear" w:color="auto" w:fill="FFFFFF"/>
        <w:jc w:val="center"/>
        <w:rPr>
          <w:rFonts w:eastAsia="方正小标宋_GBK"/>
          <w:b/>
          <w:bCs/>
          <w:kern w:val="0"/>
          <w:sz w:val="44"/>
          <w:szCs w:val="44"/>
        </w:rPr>
      </w:pPr>
      <w:r>
        <w:rPr>
          <w:rFonts w:eastAsia="方正小标宋_GBK"/>
          <w:b/>
          <w:bCs/>
          <w:kern w:val="0"/>
          <w:sz w:val="44"/>
          <w:szCs w:val="44"/>
        </w:rPr>
        <w:t>办公室政府信息公开工作</w:t>
      </w:r>
    </w:p>
    <w:p>
      <w:pPr>
        <w:widowControl/>
        <w:shd w:val="clear" w:color="auto" w:fill="FFFFFF"/>
        <w:jc w:val="center"/>
        <w:rPr>
          <w:rFonts w:eastAsia="方正小标宋_GBK"/>
          <w:b/>
          <w:bCs/>
          <w:kern w:val="0"/>
          <w:sz w:val="44"/>
          <w:szCs w:val="44"/>
        </w:rPr>
      </w:pPr>
      <w:r>
        <w:rPr>
          <w:rFonts w:eastAsia="方正小标宋_GBK"/>
          <w:b/>
          <w:bCs/>
          <w:kern w:val="0"/>
          <w:sz w:val="44"/>
          <w:szCs w:val="44"/>
        </w:rPr>
        <w:t>2021年度报告</w:t>
      </w:r>
    </w:p>
    <w:p>
      <w:pPr>
        <w:widowControl/>
        <w:shd w:val="clear" w:color="auto" w:fill="FFFFFF"/>
        <w:jc w:val="center"/>
        <w:rPr>
          <w:rFonts w:eastAsia="方正小标宋_GBK"/>
          <w:b/>
          <w:bCs/>
          <w:kern w:val="0"/>
          <w:sz w:val="44"/>
          <w:szCs w:val="44"/>
        </w:rPr>
      </w:pPr>
    </w:p>
    <w:p>
      <w:pPr>
        <w:widowControl/>
        <w:shd w:val="clear" w:color="auto" w:fill="FFFFFF"/>
        <w:ind w:firstLine="480"/>
        <w:rPr>
          <w:rFonts w:eastAsia="仿宋_GB2312"/>
          <w:color w:val="000000"/>
          <w:kern w:val="0"/>
          <w:sz w:val="32"/>
          <w:szCs w:val="32"/>
        </w:rPr>
      </w:pPr>
      <w:r>
        <w:rPr>
          <w:rFonts w:eastAsia="仿宋_GB2312"/>
          <w:color w:val="000000"/>
          <w:kern w:val="0"/>
          <w:sz w:val="32"/>
          <w:szCs w:val="32"/>
        </w:rPr>
        <w:t>根据《中华人民共和国政府信息公开条例》（国务院令第</w:t>
      </w:r>
      <w:r>
        <w:rPr>
          <w:rFonts w:eastAsia="仿宋_GB2312"/>
          <w:color w:val="000000"/>
          <w:kern w:val="0"/>
          <w:sz w:val="32"/>
          <w:szCs w:val="32"/>
        </w:rPr>
        <w:t>711</w:t>
      </w:r>
      <w:r>
        <w:rPr>
          <w:rFonts w:eastAsia="仿宋_GB2312"/>
          <w:color w:val="000000"/>
          <w:kern w:val="0"/>
          <w:sz w:val="32"/>
          <w:szCs w:val="32"/>
        </w:rPr>
        <w:t>号，以下简称《条例》）和《中华人民共和国政府信息公开工作年度报告格式（试行）》（国办公开办函〔</w:t>
      </w:r>
      <w:r>
        <w:rPr>
          <w:rFonts w:eastAsia="仿宋_GB2312"/>
          <w:color w:val="000000"/>
          <w:kern w:val="0"/>
          <w:sz w:val="32"/>
          <w:szCs w:val="32"/>
        </w:rPr>
        <w:t>2019</w:t>
      </w:r>
      <w:r>
        <w:rPr>
          <w:rFonts w:eastAsia="仿宋_GB2312"/>
          <w:color w:val="000000"/>
          <w:kern w:val="0"/>
          <w:sz w:val="32"/>
          <w:szCs w:val="32"/>
        </w:rPr>
        <w:t>〕</w:t>
      </w:r>
      <w:r>
        <w:rPr>
          <w:rFonts w:eastAsia="仿宋_GB2312"/>
          <w:color w:val="000000"/>
          <w:kern w:val="0"/>
          <w:sz w:val="32"/>
          <w:szCs w:val="32"/>
        </w:rPr>
        <w:t>60</w:t>
      </w:r>
      <w:r>
        <w:rPr>
          <w:rFonts w:eastAsia="仿宋_GB2312"/>
          <w:color w:val="000000"/>
          <w:kern w:val="0"/>
          <w:sz w:val="32"/>
          <w:szCs w:val="32"/>
        </w:rPr>
        <w:t>号）</w:t>
      </w:r>
      <w:r>
        <w:rPr>
          <w:rFonts w:eastAsia="仿宋_GB2312"/>
          <w:color w:val="000000"/>
          <w:kern w:val="0"/>
          <w:sz w:val="32"/>
          <w:szCs w:val="32"/>
        </w:rPr>
        <w:t>,</w:t>
      </w:r>
      <w:r>
        <w:rPr>
          <w:rFonts w:eastAsia="仿宋_GB2312"/>
          <w:color w:val="000000"/>
          <w:kern w:val="0"/>
          <w:sz w:val="32"/>
          <w:szCs w:val="32"/>
        </w:rPr>
        <w:t>本年度报告由总体情况、主动公开政府信息情况、收到和处理政府信息公开申请情况、政府信息公开行政复议</w:t>
      </w:r>
      <w:r>
        <w:rPr>
          <w:rFonts w:hint="eastAsia" w:eastAsia="仿宋_GB2312"/>
          <w:color w:val="000000"/>
          <w:kern w:val="0"/>
          <w:sz w:val="32"/>
          <w:szCs w:val="32"/>
        </w:rPr>
        <w:t>和</w:t>
      </w:r>
      <w:r>
        <w:rPr>
          <w:rFonts w:eastAsia="仿宋_GB2312"/>
          <w:color w:val="000000"/>
          <w:kern w:val="0"/>
          <w:sz w:val="32"/>
          <w:szCs w:val="32"/>
        </w:rPr>
        <w:t>行政诉讼情况、存在的主要问题及改进情况、其他需要报告的事项六部分组成。本年度报告中所列数据的统计期限自</w:t>
      </w:r>
      <w:r>
        <w:rPr>
          <w:rFonts w:eastAsia="仿宋_GB2312"/>
          <w:color w:val="000000"/>
          <w:kern w:val="0"/>
          <w:sz w:val="32"/>
          <w:szCs w:val="32"/>
        </w:rPr>
        <w:t>2021</w:t>
      </w:r>
      <w:r>
        <w:rPr>
          <w:rFonts w:eastAsia="仿宋_GB2312"/>
          <w:color w:val="000000"/>
          <w:kern w:val="0"/>
          <w:sz w:val="32"/>
          <w:szCs w:val="32"/>
        </w:rPr>
        <w:t>年</w:t>
      </w:r>
      <w:r>
        <w:rPr>
          <w:rFonts w:eastAsia="仿宋_GB2312"/>
          <w:color w:val="000000"/>
          <w:kern w:val="0"/>
          <w:sz w:val="32"/>
          <w:szCs w:val="32"/>
        </w:rPr>
        <w:t>1</w:t>
      </w:r>
      <w:r>
        <w:rPr>
          <w:rFonts w:eastAsia="仿宋_GB2312"/>
          <w:color w:val="000000"/>
          <w:kern w:val="0"/>
          <w:sz w:val="32"/>
          <w:szCs w:val="32"/>
        </w:rPr>
        <w:t>月</w:t>
      </w:r>
      <w:r>
        <w:rPr>
          <w:rFonts w:eastAsia="仿宋_GB2312"/>
          <w:color w:val="000000"/>
          <w:kern w:val="0"/>
          <w:sz w:val="32"/>
          <w:szCs w:val="32"/>
        </w:rPr>
        <w:t>1</w:t>
      </w:r>
      <w:r>
        <w:rPr>
          <w:rFonts w:eastAsia="仿宋_GB2312"/>
          <w:color w:val="000000"/>
          <w:kern w:val="0"/>
          <w:sz w:val="32"/>
          <w:szCs w:val="32"/>
        </w:rPr>
        <w:t>日起至</w:t>
      </w:r>
      <w:r>
        <w:rPr>
          <w:rFonts w:eastAsia="仿宋_GB2312"/>
          <w:color w:val="000000"/>
          <w:kern w:val="0"/>
          <w:sz w:val="32"/>
          <w:szCs w:val="32"/>
        </w:rPr>
        <w:t>2021</w:t>
      </w:r>
      <w:r>
        <w:rPr>
          <w:rFonts w:eastAsia="仿宋_GB2312"/>
          <w:color w:val="000000"/>
          <w:kern w:val="0"/>
          <w:sz w:val="32"/>
          <w:szCs w:val="32"/>
        </w:rPr>
        <w:t>年</w:t>
      </w:r>
      <w:r>
        <w:rPr>
          <w:rFonts w:eastAsia="仿宋_GB2312"/>
          <w:color w:val="000000"/>
          <w:kern w:val="0"/>
          <w:sz w:val="32"/>
          <w:szCs w:val="32"/>
        </w:rPr>
        <w:t>12</w:t>
      </w:r>
      <w:r>
        <w:rPr>
          <w:rFonts w:eastAsia="仿宋_GB2312"/>
          <w:color w:val="000000"/>
          <w:kern w:val="0"/>
          <w:sz w:val="32"/>
          <w:szCs w:val="32"/>
        </w:rPr>
        <w:t>月</w:t>
      </w:r>
      <w:r>
        <w:rPr>
          <w:rFonts w:eastAsia="仿宋_GB2312"/>
          <w:color w:val="000000"/>
          <w:kern w:val="0"/>
          <w:sz w:val="32"/>
          <w:szCs w:val="32"/>
        </w:rPr>
        <w:t>31</w:t>
      </w:r>
      <w:r>
        <w:rPr>
          <w:rFonts w:eastAsia="仿宋_GB2312"/>
          <w:color w:val="000000"/>
          <w:kern w:val="0"/>
          <w:sz w:val="32"/>
          <w:szCs w:val="32"/>
        </w:rPr>
        <w:t>日止。全年未发生行政复议案件，未发生行政诉讼案件。</w:t>
      </w:r>
    </w:p>
    <w:p>
      <w:pPr>
        <w:widowControl/>
        <w:shd w:val="clear" w:color="auto" w:fill="FFFFFF"/>
        <w:ind w:firstLine="480"/>
        <w:rPr>
          <w:rFonts w:eastAsia="黑体"/>
          <w:color w:val="000000"/>
          <w:kern w:val="0"/>
          <w:sz w:val="32"/>
          <w:szCs w:val="32"/>
        </w:rPr>
      </w:pPr>
      <w:r>
        <w:rPr>
          <w:rFonts w:eastAsia="黑体"/>
          <w:color w:val="000000"/>
          <w:kern w:val="0"/>
          <w:sz w:val="32"/>
          <w:szCs w:val="32"/>
        </w:rPr>
        <w:t>一、总体情况</w:t>
      </w:r>
    </w:p>
    <w:p>
      <w:pPr>
        <w:widowControl/>
        <w:shd w:val="clear" w:color="auto" w:fill="FFFFFF"/>
        <w:ind w:firstLine="480"/>
        <w:rPr>
          <w:rFonts w:eastAsia="仿宋_GB2312"/>
          <w:color w:val="000000"/>
          <w:kern w:val="0"/>
          <w:sz w:val="32"/>
          <w:szCs w:val="32"/>
        </w:rPr>
      </w:pPr>
      <w:r>
        <w:rPr>
          <w:rFonts w:eastAsia="仿宋_GB2312"/>
          <w:color w:val="000000"/>
          <w:kern w:val="0"/>
          <w:sz w:val="32"/>
          <w:szCs w:val="32"/>
        </w:rPr>
        <w:t>中国（天津）自由贸易试验区管理委员会办公室（以下简称自贸区管委会办公室）</w:t>
      </w:r>
      <w:r>
        <w:rPr>
          <w:rFonts w:hint="eastAsia" w:eastAsia="仿宋_GB2312"/>
          <w:color w:val="000000"/>
          <w:kern w:val="0"/>
          <w:sz w:val="32"/>
          <w:szCs w:val="32"/>
          <w:lang w:eastAsia="zh-CN"/>
        </w:rPr>
        <w:t>与滨海新区发改委合署办公，是滨海新区政府的工作部门和</w:t>
      </w:r>
      <w:r>
        <w:rPr>
          <w:rFonts w:eastAsia="仿宋_GB2312"/>
          <w:color w:val="000000"/>
          <w:kern w:val="0"/>
          <w:sz w:val="32"/>
          <w:szCs w:val="32"/>
        </w:rPr>
        <w:t>中国（天津）自由贸易试验区管理委员会（以下简称自贸区管委会）的执行机构</w:t>
      </w:r>
      <w:r>
        <w:rPr>
          <w:rFonts w:hint="eastAsia" w:eastAsia="仿宋_GB2312"/>
          <w:color w:val="000000"/>
          <w:kern w:val="0"/>
          <w:sz w:val="32"/>
          <w:szCs w:val="32"/>
          <w:lang w:eastAsia="zh-CN"/>
        </w:rPr>
        <w:t>。</w:t>
      </w:r>
    </w:p>
    <w:p>
      <w:pPr>
        <w:widowControl/>
        <w:shd w:val="clear" w:color="auto" w:fill="FFFFFF"/>
        <w:ind w:firstLine="480"/>
        <w:rPr>
          <w:rFonts w:eastAsia="仿宋_GB2312"/>
          <w:b/>
          <w:bCs/>
          <w:color w:val="000000"/>
          <w:kern w:val="0"/>
          <w:sz w:val="32"/>
          <w:szCs w:val="32"/>
        </w:rPr>
      </w:pPr>
      <w:r>
        <w:rPr>
          <w:rFonts w:eastAsia="仿宋_GB2312"/>
          <w:b/>
          <w:bCs/>
          <w:color w:val="000000"/>
          <w:kern w:val="0"/>
          <w:sz w:val="32"/>
          <w:szCs w:val="32"/>
        </w:rPr>
        <w:t>1.</w:t>
      </w:r>
      <w:r>
        <w:rPr>
          <w:rFonts w:eastAsia="仿宋_GB2312"/>
          <w:b/>
          <w:bCs/>
          <w:color w:val="000000"/>
          <w:kern w:val="0"/>
          <w:sz w:val="32"/>
          <w:szCs w:val="32"/>
        </w:rPr>
        <w:t>主动公开情况</w:t>
      </w:r>
    </w:p>
    <w:p>
      <w:pPr>
        <w:widowControl/>
        <w:shd w:val="clear" w:color="auto" w:fill="FFFFFF"/>
        <w:ind w:firstLine="480"/>
        <w:rPr>
          <w:rFonts w:eastAsia="仿宋_GB2312"/>
          <w:color w:val="000000"/>
          <w:kern w:val="0"/>
          <w:sz w:val="32"/>
          <w:szCs w:val="32"/>
        </w:rPr>
      </w:pPr>
      <w:r>
        <w:rPr>
          <w:rFonts w:eastAsia="仿宋_GB2312"/>
          <w:color w:val="000000"/>
          <w:kern w:val="0"/>
          <w:sz w:val="32"/>
          <w:szCs w:val="32"/>
        </w:rPr>
        <w:t>按照《条例》要求，严格规范政府信息的发布流程。</w:t>
      </w:r>
      <w:r>
        <w:rPr>
          <w:rFonts w:eastAsia="仿宋_GB2312"/>
          <w:color w:val="000000"/>
          <w:kern w:val="0"/>
          <w:sz w:val="32"/>
          <w:szCs w:val="32"/>
        </w:rPr>
        <w:t>2021</w:t>
      </w:r>
      <w:r>
        <w:rPr>
          <w:rFonts w:eastAsia="仿宋_GB2312"/>
          <w:color w:val="000000"/>
          <w:kern w:val="0"/>
          <w:sz w:val="32"/>
          <w:szCs w:val="32"/>
        </w:rPr>
        <w:t>年，</w:t>
      </w:r>
      <w:r>
        <w:rPr>
          <w:rFonts w:hint="eastAsia" w:eastAsia="仿宋_GB2312"/>
          <w:color w:val="000000"/>
          <w:kern w:val="0"/>
          <w:sz w:val="32"/>
          <w:szCs w:val="32"/>
          <w:lang w:eastAsia="zh-CN"/>
        </w:rPr>
        <w:t>自贸区管委会办公室</w:t>
      </w:r>
      <w:r>
        <w:rPr>
          <w:rFonts w:eastAsia="仿宋_GB2312"/>
          <w:color w:val="000000"/>
          <w:kern w:val="0"/>
          <w:sz w:val="32"/>
          <w:szCs w:val="32"/>
        </w:rPr>
        <w:t>公开发布自贸区管委会主动公开文件</w:t>
      </w:r>
      <w:r>
        <w:rPr>
          <w:rFonts w:eastAsia="仿宋_GB2312"/>
          <w:color w:val="000000"/>
          <w:kern w:val="0"/>
          <w:sz w:val="32"/>
          <w:szCs w:val="32"/>
        </w:rPr>
        <w:t>8</w:t>
      </w:r>
      <w:r>
        <w:rPr>
          <w:rFonts w:eastAsia="仿宋_GB2312"/>
          <w:color w:val="000000"/>
          <w:kern w:val="0"/>
          <w:sz w:val="32"/>
          <w:szCs w:val="32"/>
        </w:rPr>
        <w:t>件，按照</w:t>
      </w:r>
      <w:r>
        <w:rPr>
          <w:rFonts w:eastAsia="仿宋_GB2312"/>
          <w:color w:val="000000"/>
          <w:kern w:val="0"/>
          <w:sz w:val="32"/>
          <w:szCs w:val="32"/>
        </w:rPr>
        <w:t>“</w:t>
      </w:r>
      <w:r>
        <w:rPr>
          <w:rFonts w:eastAsia="仿宋_GB2312"/>
          <w:color w:val="000000"/>
          <w:kern w:val="0"/>
          <w:sz w:val="32"/>
          <w:szCs w:val="32"/>
        </w:rPr>
        <w:t>谁起草、谁解读，谁解读、谁负责</w:t>
      </w:r>
      <w:r>
        <w:rPr>
          <w:rFonts w:eastAsia="仿宋_GB2312"/>
          <w:color w:val="000000"/>
          <w:kern w:val="0"/>
          <w:sz w:val="32"/>
          <w:szCs w:val="32"/>
        </w:rPr>
        <w:t>”</w:t>
      </w:r>
      <w:r>
        <w:rPr>
          <w:rFonts w:eastAsia="仿宋_GB2312"/>
          <w:color w:val="000000"/>
          <w:kern w:val="0"/>
          <w:sz w:val="32"/>
          <w:szCs w:val="32"/>
        </w:rPr>
        <w:t>的原则，强化政策解读，及时公开部门</w:t>
      </w:r>
      <w:bookmarkStart w:id="0" w:name="_GoBack"/>
      <w:bookmarkEnd w:id="0"/>
      <w:r>
        <w:rPr>
          <w:rFonts w:eastAsia="仿宋_GB2312"/>
          <w:color w:val="000000"/>
          <w:kern w:val="0"/>
          <w:sz w:val="32"/>
          <w:szCs w:val="32"/>
        </w:rPr>
        <w:t>年度预算和决算、政府网站工作年度报表等。</w:t>
      </w:r>
    </w:p>
    <w:p>
      <w:pPr>
        <w:widowControl/>
        <w:shd w:val="clear" w:color="auto" w:fill="FFFFFF"/>
        <w:ind w:firstLine="480"/>
        <w:rPr>
          <w:rFonts w:eastAsia="仿宋_GB2312"/>
          <w:b/>
          <w:bCs/>
          <w:color w:val="000000"/>
          <w:kern w:val="0"/>
          <w:sz w:val="32"/>
          <w:szCs w:val="32"/>
        </w:rPr>
      </w:pPr>
      <w:r>
        <w:rPr>
          <w:rFonts w:eastAsia="仿宋_GB2312"/>
          <w:b/>
          <w:bCs/>
          <w:color w:val="000000"/>
          <w:kern w:val="0"/>
          <w:sz w:val="32"/>
          <w:szCs w:val="32"/>
        </w:rPr>
        <w:t>2.</w:t>
      </w:r>
      <w:r>
        <w:rPr>
          <w:rFonts w:eastAsia="仿宋_GB2312"/>
          <w:b/>
          <w:bCs/>
          <w:color w:val="000000"/>
          <w:kern w:val="0"/>
          <w:sz w:val="32"/>
          <w:szCs w:val="32"/>
        </w:rPr>
        <w:t>依申请公开情况</w:t>
      </w:r>
    </w:p>
    <w:p>
      <w:pPr>
        <w:widowControl/>
        <w:shd w:val="clear" w:color="auto" w:fill="FFFFFF"/>
        <w:ind w:firstLine="480"/>
        <w:rPr>
          <w:rFonts w:eastAsia="仿宋_GB2312"/>
          <w:color w:val="000000"/>
          <w:kern w:val="0"/>
          <w:sz w:val="32"/>
          <w:szCs w:val="32"/>
        </w:rPr>
      </w:pPr>
      <w:r>
        <w:rPr>
          <w:rFonts w:eastAsia="仿宋_GB2312"/>
          <w:color w:val="000000"/>
          <w:kern w:val="0"/>
          <w:sz w:val="32"/>
          <w:szCs w:val="32"/>
        </w:rPr>
        <w:t>2021</w:t>
      </w:r>
      <w:r>
        <w:rPr>
          <w:rFonts w:eastAsia="仿宋_GB2312"/>
          <w:color w:val="000000"/>
          <w:kern w:val="0"/>
          <w:sz w:val="32"/>
          <w:szCs w:val="32"/>
        </w:rPr>
        <w:t>年全年，受理依申请公开政府信息</w:t>
      </w:r>
      <w:r>
        <w:rPr>
          <w:rFonts w:eastAsia="仿宋_GB2312"/>
          <w:color w:val="000000"/>
          <w:kern w:val="0"/>
          <w:sz w:val="32"/>
          <w:szCs w:val="32"/>
        </w:rPr>
        <w:t>3</w:t>
      </w:r>
      <w:r>
        <w:rPr>
          <w:rFonts w:eastAsia="仿宋_GB2312"/>
          <w:color w:val="000000"/>
          <w:kern w:val="0"/>
          <w:sz w:val="32"/>
          <w:szCs w:val="32"/>
        </w:rPr>
        <w:t>件，其中，通过网上接收</w:t>
      </w:r>
      <w:r>
        <w:rPr>
          <w:rFonts w:eastAsia="仿宋_GB2312"/>
          <w:color w:val="000000"/>
          <w:kern w:val="0"/>
          <w:sz w:val="32"/>
          <w:szCs w:val="32"/>
        </w:rPr>
        <w:t>1</w:t>
      </w:r>
      <w:r>
        <w:rPr>
          <w:rFonts w:eastAsia="仿宋_GB2312"/>
          <w:color w:val="000000"/>
          <w:kern w:val="0"/>
          <w:sz w:val="32"/>
          <w:szCs w:val="32"/>
        </w:rPr>
        <w:t>件。按照规范流程，在法定时限内将相关内容回复申请人，答复率</w:t>
      </w:r>
      <w:r>
        <w:rPr>
          <w:rFonts w:eastAsia="仿宋_GB2312"/>
          <w:color w:val="000000"/>
          <w:kern w:val="0"/>
          <w:sz w:val="32"/>
          <w:szCs w:val="32"/>
        </w:rPr>
        <w:t>100%</w:t>
      </w:r>
      <w:r>
        <w:rPr>
          <w:rFonts w:eastAsia="仿宋_GB2312"/>
          <w:color w:val="000000"/>
          <w:kern w:val="0"/>
          <w:sz w:val="32"/>
          <w:szCs w:val="32"/>
        </w:rPr>
        <w:t>。</w:t>
      </w:r>
    </w:p>
    <w:p>
      <w:pPr>
        <w:widowControl/>
        <w:shd w:val="clear" w:color="auto" w:fill="FFFFFF"/>
        <w:ind w:firstLine="480"/>
        <w:rPr>
          <w:rFonts w:eastAsia="仿宋_GB2312"/>
          <w:b/>
          <w:bCs/>
          <w:color w:val="000000"/>
          <w:kern w:val="0"/>
          <w:sz w:val="32"/>
          <w:szCs w:val="32"/>
        </w:rPr>
      </w:pPr>
      <w:r>
        <w:rPr>
          <w:rFonts w:eastAsia="仿宋_GB2312"/>
          <w:b/>
          <w:bCs/>
          <w:color w:val="000000"/>
          <w:kern w:val="0"/>
          <w:sz w:val="32"/>
          <w:szCs w:val="32"/>
        </w:rPr>
        <w:t>3.</w:t>
      </w:r>
      <w:r>
        <w:rPr>
          <w:rFonts w:eastAsia="仿宋_GB2312"/>
          <w:b/>
          <w:bCs/>
          <w:color w:val="000000"/>
          <w:kern w:val="0"/>
          <w:sz w:val="32"/>
          <w:szCs w:val="32"/>
        </w:rPr>
        <w:t>平台建设情况</w:t>
      </w:r>
    </w:p>
    <w:p>
      <w:pPr>
        <w:widowControl/>
        <w:shd w:val="clear" w:color="auto" w:fill="FFFFFF"/>
        <w:ind w:firstLine="480"/>
        <w:rPr>
          <w:rFonts w:eastAsia="仿宋_GB2312"/>
          <w:color w:val="000000"/>
          <w:kern w:val="0"/>
          <w:sz w:val="32"/>
          <w:szCs w:val="32"/>
        </w:rPr>
      </w:pPr>
      <w:r>
        <w:rPr>
          <w:rFonts w:eastAsia="仿宋_GB2312"/>
          <w:color w:val="000000"/>
          <w:kern w:val="0"/>
          <w:sz w:val="32"/>
          <w:szCs w:val="32"/>
        </w:rPr>
        <w:t>持续深入推进政务主动公开，按照相关部署要求，完成政府网站集约化改造，实现政府信息公开专栏与区级一体化政府网站集约化平台信息互联互通，数据互认共享、平台管理统筹规范。打通网站与新媒体平台之间的相互引导关注，全年在官网发布各类信息</w:t>
      </w:r>
      <w:r>
        <w:rPr>
          <w:rFonts w:eastAsia="仿宋_GB2312"/>
          <w:color w:val="000000"/>
          <w:kern w:val="0"/>
          <w:sz w:val="32"/>
          <w:szCs w:val="32"/>
        </w:rPr>
        <w:t>841</w:t>
      </w:r>
      <w:r>
        <w:rPr>
          <w:rFonts w:eastAsia="仿宋_GB2312"/>
          <w:color w:val="000000"/>
          <w:kern w:val="0"/>
          <w:sz w:val="32"/>
          <w:szCs w:val="32"/>
        </w:rPr>
        <w:t>条，微信公众号发布</w:t>
      </w:r>
      <w:r>
        <w:rPr>
          <w:rFonts w:eastAsia="仿宋_GB2312"/>
          <w:color w:val="000000"/>
          <w:kern w:val="0"/>
          <w:sz w:val="32"/>
          <w:szCs w:val="32"/>
        </w:rPr>
        <w:t>595</w:t>
      </w:r>
      <w:r>
        <w:rPr>
          <w:rFonts w:eastAsia="仿宋_GB2312"/>
          <w:color w:val="000000"/>
          <w:kern w:val="0"/>
          <w:sz w:val="32"/>
          <w:szCs w:val="32"/>
        </w:rPr>
        <w:t>条，微博发布</w:t>
      </w:r>
      <w:r>
        <w:rPr>
          <w:rFonts w:eastAsia="仿宋_GB2312"/>
          <w:color w:val="000000"/>
          <w:kern w:val="0"/>
          <w:sz w:val="32"/>
          <w:szCs w:val="32"/>
        </w:rPr>
        <w:t>820</w:t>
      </w:r>
      <w:r>
        <w:rPr>
          <w:rFonts w:eastAsia="仿宋_GB2312"/>
          <w:color w:val="000000"/>
          <w:kern w:val="0"/>
          <w:sz w:val="32"/>
          <w:szCs w:val="32"/>
        </w:rPr>
        <w:t>条，澎湃号发布</w:t>
      </w:r>
      <w:r>
        <w:rPr>
          <w:rFonts w:eastAsia="仿宋_GB2312"/>
          <w:color w:val="000000"/>
          <w:kern w:val="0"/>
          <w:sz w:val="32"/>
          <w:szCs w:val="32"/>
        </w:rPr>
        <w:t>580</w:t>
      </w:r>
      <w:r>
        <w:rPr>
          <w:rFonts w:eastAsia="仿宋_GB2312"/>
          <w:color w:val="000000"/>
          <w:kern w:val="0"/>
          <w:sz w:val="32"/>
          <w:szCs w:val="32"/>
        </w:rPr>
        <w:t>条。积极利用政府信息公开咨询电话、政务咨询和网上互动等方式，提升政务公开工作总体水平。</w:t>
      </w:r>
    </w:p>
    <w:p>
      <w:pPr>
        <w:widowControl/>
        <w:shd w:val="clear" w:color="auto" w:fill="FFFFFF"/>
        <w:ind w:firstLine="480"/>
        <w:rPr>
          <w:rFonts w:eastAsia="黑体"/>
          <w:color w:val="000000"/>
          <w:kern w:val="0"/>
          <w:sz w:val="32"/>
          <w:szCs w:val="32"/>
        </w:rPr>
      </w:pPr>
      <w:r>
        <w:rPr>
          <w:rFonts w:eastAsia="黑体"/>
          <w:color w:val="000000"/>
          <w:kern w:val="0"/>
          <w:sz w:val="32"/>
          <w:szCs w:val="32"/>
        </w:rPr>
        <w:t>二、主动公开政府信息情况</w:t>
      </w:r>
    </w:p>
    <w:p>
      <w:pPr>
        <w:widowControl/>
        <w:shd w:val="clear" w:color="auto" w:fill="FFFFFF"/>
        <w:ind w:firstLine="480"/>
        <w:rPr>
          <w:rFonts w:ascii="宋体" w:hAnsi="宋体" w:cs="宋体"/>
          <w:color w:val="000000"/>
          <w:kern w:val="0"/>
          <w:sz w:val="24"/>
        </w:rPr>
      </w:pPr>
    </w:p>
    <w:tbl>
      <w:tblPr>
        <w:tblStyle w:val="8"/>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本年</w:t>
            </w:r>
            <w:r>
              <w:rPr>
                <w:rFonts w:ascii="宋体" w:hAnsi="宋体" w:cs="宋体"/>
                <w:color w:val="000000"/>
                <w:kern w:val="0"/>
                <w:sz w:val="28"/>
                <w:szCs w:val="28"/>
              </w:rPr>
              <w:t>制</w:t>
            </w:r>
            <w:r>
              <w:rPr>
                <w:rFonts w:hint="eastAsia" w:ascii="宋体" w:hAnsi="宋体" w:cs="宋体"/>
                <w:color w:val="000000"/>
                <w:kern w:val="0"/>
                <w:sz w:val="28"/>
                <w:szCs w:val="28"/>
              </w:rPr>
              <w:t>发件</w:t>
            </w:r>
            <w:r>
              <w:rPr>
                <w:rFonts w:ascii="宋体" w:hAnsi="宋体" w:cs="宋体"/>
                <w:color w:val="000000"/>
                <w:kern w:val="0"/>
                <w:sz w:val="28"/>
                <w:szCs w:val="28"/>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现行有效件</w:t>
            </w:r>
            <w:r>
              <w:rPr>
                <w:rFonts w:ascii="宋体" w:hAnsi="宋体" w:cs="宋体"/>
                <w:color w:val="000000"/>
                <w:kern w:val="0"/>
                <w:sz w:val="28"/>
                <w:szCs w:val="28"/>
              </w:rPr>
              <w:t>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color w:val="000000"/>
                <w:kern w:val="0"/>
                <w:sz w:val="28"/>
                <w:szCs w:val="28"/>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color w:val="000000"/>
                <w:kern w:val="0"/>
                <w:sz w:val="28"/>
                <w:szCs w:val="28"/>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color w:val="000000"/>
                <w:kern w:val="0"/>
                <w:sz w:val="28"/>
                <w:szCs w:val="28"/>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8"/>
                <w:szCs w:val="28"/>
              </w:rPr>
            </w:pPr>
            <w:r>
              <w:rPr>
                <w:color w:val="000000"/>
                <w:kern w:val="0"/>
                <w:sz w:val="28"/>
                <w:szCs w:val="28"/>
              </w:rPr>
              <w:t>8</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color w:val="000000"/>
                <w:kern w:val="0"/>
                <w:sz w:val="28"/>
                <w:szCs w:val="28"/>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color w:val="000000"/>
                <w:kern w:val="0"/>
                <w:sz w:val="28"/>
                <w:szCs w:val="28"/>
              </w:rPr>
              <w:t>14</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color w:val="000000"/>
                <w:kern w:val="0"/>
                <w:sz w:val="28"/>
                <w:szCs w:val="28"/>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color w:val="000000"/>
                <w:kern w:val="0"/>
                <w:sz w:val="28"/>
                <w:szCs w:val="28"/>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color w:val="000000"/>
                <w:kern w:val="0"/>
                <w:sz w:val="28"/>
                <w:szCs w:val="28"/>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color w:val="000000"/>
                <w:kern w:val="0"/>
                <w:sz w:val="28"/>
                <w:szCs w:val="28"/>
              </w:rPr>
              <w:t>0</w:t>
            </w:r>
          </w:p>
        </w:tc>
      </w:tr>
    </w:tbl>
    <w:p>
      <w:pPr>
        <w:widowControl/>
        <w:shd w:val="clear" w:color="auto" w:fill="FFFFFF"/>
        <w:ind w:firstLine="480"/>
        <w:rPr>
          <w:rFonts w:ascii="黑体" w:hAnsi="黑体" w:eastAsia="黑体" w:cs="黑体"/>
          <w:color w:val="000000"/>
          <w:kern w:val="0"/>
          <w:sz w:val="32"/>
          <w:szCs w:val="32"/>
        </w:rPr>
      </w:pPr>
      <w:r>
        <w:rPr>
          <w:rFonts w:hint="eastAsia" w:ascii="黑体" w:hAnsi="黑体" w:eastAsia="黑体" w:cs="黑体"/>
          <w:color w:val="000000"/>
          <w:kern w:val="0"/>
          <w:sz w:val="32"/>
          <w:szCs w:val="32"/>
        </w:rPr>
        <w:t>三、收到和处理政府信息公开申请情况</w:t>
      </w:r>
    </w:p>
    <w:p>
      <w:pPr>
        <w:widowControl/>
        <w:shd w:val="clear" w:color="auto" w:fill="FFFFFF"/>
        <w:ind w:firstLine="480"/>
        <w:rPr>
          <w:rFonts w:ascii="宋体" w:hAnsi="宋体" w:cs="宋体"/>
          <w:color w:val="000000"/>
          <w:kern w:val="0"/>
          <w:sz w:val="24"/>
        </w:rPr>
      </w:pPr>
    </w:p>
    <w:tbl>
      <w:tblPr>
        <w:tblStyle w:val="8"/>
        <w:tblW w:w="9748" w:type="dxa"/>
        <w:jc w:val="center"/>
        <w:tblInd w:w="0" w:type="dxa"/>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Layout w:type="fixed"/>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000000"/>
                <w:kern w:val="0"/>
                <w:sz w:val="24"/>
              </w:rPr>
            </w:pPr>
            <w:r>
              <w:rPr>
                <w:rFonts w:hint="eastAsia" w:ascii="楷体" w:hAnsi="楷体" w:eastAsia="楷体" w:cs="宋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申请人情况</w:t>
            </w:r>
          </w:p>
        </w:tc>
      </w:tr>
      <w:tr>
        <w:tblPrEx>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总计</w:t>
            </w:r>
          </w:p>
        </w:tc>
      </w:tr>
      <w:tr>
        <w:tblPrEx>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688"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商业</w:t>
            </w:r>
          </w:p>
          <w:p>
            <w:pPr>
              <w:widowControl/>
              <w:jc w:val="center"/>
              <w:rPr>
                <w:rFonts w:ascii="宋体" w:hAnsi="宋体" w:cs="宋体"/>
                <w:color w:val="000000"/>
                <w:kern w:val="0"/>
                <w:sz w:val="24"/>
              </w:rPr>
            </w:pPr>
            <w:r>
              <w:rPr>
                <w:rFonts w:hint="eastAsia" w:ascii="宋体" w:hAnsi="宋体" w:cs="宋体"/>
                <w:color w:val="000000"/>
                <w:kern w:val="0"/>
                <w:sz w:val="20"/>
                <w:szCs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科研</w:t>
            </w:r>
          </w:p>
          <w:p>
            <w:pPr>
              <w:widowControl/>
              <w:jc w:val="center"/>
              <w:rPr>
                <w:rFonts w:ascii="宋体" w:hAnsi="宋体" w:cs="宋体"/>
                <w:color w:val="000000"/>
                <w:kern w:val="0"/>
                <w:sz w:val="24"/>
              </w:rPr>
            </w:pPr>
            <w:r>
              <w:rPr>
                <w:rFonts w:hint="eastAsia" w:ascii="宋体" w:hAnsi="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其他</w:t>
            </w:r>
          </w:p>
        </w:tc>
        <w:tc>
          <w:tcPr>
            <w:tcW w:w="688" w:type="dxa"/>
            <w:vMerge w:val="continue"/>
            <w:tcBorders>
              <w:top w:val="single" w:color="auto" w:sz="8" w:space="0"/>
              <w:left w:val="nil"/>
              <w:bottom w:val="inset" w:color="auto" w:sz="8" w:space="0"/>
              <w:right w:val="single" w:color="auto" w:sz="8" w:space="0"/>
            </w:tcBorders>
            <w:vAlign w:val="center"/>
          </w:tcPr>
          <w:p>
            <w:pPr>
              <w:widowControl/>
              <w:jc w:val="left"/>
              <w:rPr>
                <w:rFonts w:ascii="宋体" w:hAnsi="宋体" w:cs="宋体"/>
                <w:color w:val="000000"/>
                <w:kern w:val="0"/>
                <w:sz w:val="24"/>
              </w:rPr>
            </w:pPr>
          </w:p>
        </w:tc>
      </w:tr>
      <w:tr>
        <w:tblPrEx>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3</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3</w:t>
            </w:r>
          </w:p>
        </w:tc>
      </w:tr>
      <w:tr>
        <w:tblPrEx>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r>
      <w:tr>
        <w:tblPrEx>
          <w:tblLayout w:type="fixed"/>
          <w:tblCellMar>
            <w:top w:w="0" w:type="dxa"/>
            <w:left w:w="0" w:type="dxa"/>
            <w:bottom w:w="0" w:type="dxa"/>
            <w:right w:w="0" w:type="dxa"/>
          </w:tblCellMar>
        </w:tblPrEx>
        <w:trPr>
          <w:jc w:val="center"/>
        </w:trPr>
        <w:tc>
          <w:tcPr>
            <w:tcW w:w="769"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三、本年度办理结果</w:t>
            </w: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（二）部分公开</w:t>
            </w:r>
            <w:r>
              <w:rPr>
                <w:rFonts w:hint="eastAsia" w:ascii="楷体" w:hAnsi="楷体" w:eastAsia="楷体" w:cs="宋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（三）不予公开</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color w:val="000000"/>
                <w:kern w:val="0"/>
                <w:sz w:val="24"/>
              </w:rPr>
            </w:pPr>
            <w:r>
              <w:rPr>
                <w:rFonts w:hint="eastAsia" w:ascii="宋体" w:hAnsi="宋体" w:cs="宋体"/>
                <w:color w:val="000000"/>
                <w:kern w:val="0"/>
                <w:sz w:val="20"/>
                <w:szCs w:val="20"/>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color w:val="000000"/>
                <w:kern w:val="0"/>
                <w:sz w:val="24"/>
              </w:rPr>
            </w:pPr>
            <w:r>
              <w:rPr>
                <w:rFonts w:hint="eastAsia" w:ascii="宋体" w:hAnsi="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color w:val="000000"/>
                <w:kern w:val="0"/>
                <w:sz w:val="24"/>
              </w:rPr>
            </w:pPr>
            <w:r>
              <w:rPr>
                <w:rFonts w:hint="eastAsia" w:ascii="宋体" w:hAnsi="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color w:val="000000"/>
                <w:kern w:val="0"/>
                <w:sz w:val="24"/>
              </w:rPr>
            </w:pPr>
            <w:r>
              <w:rPr>
                <w:rFonts w:hint="eastAsia" w:ascii="宋体" w:hAnsi="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color w:val="000000"/>
                <w:kern w:val="0"/>
                <w:sz w:val="24"/>
              </w:rPr>
            </w:pPr>
            <w:r>
              <w:rPr>
                <w:rFonts w:hint="eastAsia" w:ascii="宋体" w:hAnsi="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color w:val="000000"/>
                <w:kern w:val="0"/>
                <w:sz w:val="24"/>
              </w:rPr>
            </w:pPr>
            <w:r>
              <w:rPr>
                <w:rFonts w:hint="eastAsia" w:ascii="宋体" w:hAnsi="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color w:val="000000"/>
                <w:kern w:val="0"/>
                <w:sz w:val="24"/>
              </w:rPr>
            </w:pPr>
            <w:r>
              <w:rPr>
                <w:rFonts w:hint="eastAsia" w:ascii="宋体" w:hAnsi="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color w:val="000000"/>
                <w:kern w:val="0"/>
                <w:sz w:val="24"/>
              </w:rPr>
            </w:pPr>
            <w:r>
              <w:rPr>
                <w:rFonts w:hint="eastAsia" w:ascii="宋体" w:hAnsi="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color w:val="000000"/>
                <w:kern w:val="0"/>
                <w:sz w:val="24"/>
              </w:rPr>
            </w:pPr>
            <w:r>
              <w:rPr>
                <w:rFonts w:hint="eastAsia" w:ascii="宋体" w:hAnsi="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3</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3</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color w:val="000000"/>
                <w:kern w:val="0"/>
                <w:sz w:val="24"/>
              </w:rPr>
            </w:pPr>
            <w:r>
              <w:rPr>
                <w:rFonts w:hint="eastAsia" w:ascii="宋体" w:hAnsi="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color w:val="000000"/>
                <w:kern w:val="0"/>
                <w:sz w:val="24"/>
              </w:rPr>
            </w:pPr>
            <w:r>
              <w:rPr>
                <w:rFonts w:hint="eastAsia" w:ascii="宋体" w:hAnsi="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color w:val="000000"/>
                <w:kern w:val="0"/>
                <w:sz w:val="24"/>
              </w:rPr>
            </w:pPr>
            <w:r>
              <w:rPr>
                <w:rFonts w:hint="eastAsia" w:ascii="宋体" w:hAnsi="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color w:val="000000"/>
                <w:kern w:val="0"/>
                <w:sz w:val="24"/>
              </w:rPr>
            </w:pPr>
            <w:r>
              <w:rPr>
                <w:rFonts w:hint="eastAsia" w:ascii="宋体" w:hAnsi="宋体" w:cs="宋体"/>
                <w:color w:val="000000"/>
                <w:kern w:val="0"/>
                <w:sz w:val="20"/>
                <w:szCs w:val="20"/>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color w:val="000000"/>
                <w:kern w:val="0"/>
                <w:sz w:val="24"/>
              </w:rPr>
            </w:pPr>
            <w:r>
              <w:rPr>
                <w:rFonts w:hint="eastAsia" w:ascii="宋体" w:hAnsi="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color w:val="000000"/>
                <w:kern w:val="0"/>
                <w:sz w:val="24"/>
              </w:rPr>
            </w:pPr>
            <w:r>
              <w:rPr>
                <w:rFonts w:hint="eastAsia" w:ascii="宋体" w:hAnsi="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r>
      <w:tr>
        <w:tblPrEx>
          <w:tblLayout w:type="fixed"/>
          <w:tblCellMar>
            <w:top w:w="0" w:type="dxa"/>
            <w:left w:w="0" w:type="dxa"/>
            <w:bottom w:w="0" w:type="dxa"/>
            <w:right w:w="0" w:type="dxa"/>
          </w:tblCellMar>
        </w:tblPrEx>
        <w:trPr>
          <w:trHeight w:val="779" w:hRule="atLeast"/>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322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rPr>
                <w:rFonts w:ascii="宋体" w:hAnsi="宋体" w:cs="宋体"/>
                <w:color w:val="000000"/>
                <w:kern w:val="0"/>
                <w:sz w:val="24"/>
              </w:rPr>
            </w:pPr>
            <w:r>
              <w:rPr>
                <w:rFonts w:hint="eastAsia" w:ascii="宋体" w:hAnsi="宋体" w:cs="宋体"/>
                <w:color w:val="000000"/>
                <w:kern w:val="0"/>
                <w:sz w:val="20"/>
                <w:szCs w:val="20"/>
              </w:rPr>
              <w:t>5.要求行政机关确认或重新出具已获取信息</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cs="宋体"/>
                <w:color w:val="000000"/>
                <w:kern w:val="0"/>
                <w:sz w:val="24"/>
              </w:rPr>
            </w:pPr>
            <w:r>
              <w:rPr>
                <w:rFonts w:hint="eastAsia" w:ascii="宋体" w:hAnsi="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943" w:type="dxa"/>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cs="宋体"/>
                <w:color w:val="000000"/>
                <w:kern w:val="0"/>
                <w:sz w:val="24"/>
              </w:rPr>
            </w:pPr>
            <w:r>
              <w:rPr>
                <w:rFonts w:hint="eastAsia" w:ascii="宋体" w:hAnsi="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943" w:type="dxa"/>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color w:val="000000"/>
                <w:kern w:val="0"/>
                <w:sz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3</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3</w:t>
            </w:r>
          </w:p>
        </w:tc>
      </w:tr>
      <w:tr>
        <w:tblPrEx>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color w:val="000000"/>
                <w:kern w:val="0"/>
                <w:sz w:val="20"/>
                <w:szCs w:val="20"/>
              </w:rPr>
              <w:t>0</w:t>
            </w:r>
          </w:p>
        </w:tc>
      </w:tr>
    </w:tbl>
    <w:p>
      <w:pPr>
        <w:widowControl/>
        <w:shd w:val="clear" w:color="auto" w:fill="FFFFFF"/>
        <w:jc w:val="center"/>
        <w:rPr>
          <w:rFonts w:ascii="宋体" w:hAnsi="宋体" w:cs="宋体"/>
          <w:color w:val="000000"/>
          <w:kern w:val="0"/>
          <w:sz w:val="24"/>
        </w:rPr>
      </w:pPr>
    </w:p>
    <w:p>
      <w:pPr>
        <w:widowControl/>
        <w:shd w:val="clear" w:color="auto" w:fill="FFFFFF"/>
        <w:ind w:firstLine="480"/>
        <w:rPr>
          <w:rFonts w:ascii="黑体" w:hAnsi="黑体" w:eastAsia="黑体" w:cs="黑体"/>
          <w:color w:val="000000"/>
          <w:kern w:val="0"/>
          <w:sz w:val="32"/>
          <w:szCs w:val="32"/>
        </w:rPr>
      </w:pPr>
      <w:r>
        <w:rPr>
          <w:rFonts w:hint="eastAsia" w:ascii="黑体" w:hAnsi="黑体" w:eastAsia="黑体" w:cs="黑体"/>
          <w:color w:val="000000"/>
          <w:kern w:val="0"/>
          <w:sz w:val="32"/>
          <w:szCs w:val="32"/>
        </w:rPr>
        <w:t>四、政府信息公开行政复议、行政诉讼情况</w:t>
      </w:r>
    </w:p>
    <w:p>
      <w:pPr>
        <w:widowControl/>
        <w:shd w:val="clear" w:color="auto" w:fill="FFFFFF"/>
        <w:jc w:val="center"/>
        <w:rPr>
          <w:rFonts w:ascii="宋体" w:hAnsi="宋体" w:cs="宋体"/>
          <w:color w:val="000000"/>
          <w:kern w:val="0"/>
          <w:sz w:val="24"/>
        </w:rPr>
      </w:pPr>
    </w:p>
    <w:tbl>
      <w:tblPr>
        <w:tblStyle w:val="8"/>
        <w:tblW w:w="9748" w:type="dxa"/>
        <w:jc w:val="center"/>
        <w:tblInd w:w="0" w:type="dxa"/>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Layout w:type="fixed"/>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行政复议</w:t>
            </w:r>
          </w:p>
        </w:tc>
        <w:tc>
          <w:tcPr>
            <w:tcW w:w="649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行政诉讼</w:t>
            </w:r>
          </w:p>
        </w:tc>
      </w:tr>
      <w:tr>
        <w:tblPrEx>
          <w:tblLayout w:type="fixed"/>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结果维持</w:t>
            </w:r>
          </w:p>
        </w:tc>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结果</w:t>
            </w:r>
            <w:r>
              <w:rPr>
                <w:rFonts w:hint="eastAsia" w:ascii="宋体" w:hAnsi="宋体" w:cs="宋体"/>
                <w:color w:val="000000"/>
                <w:kern w:val="0"/>
                <w:szCs w:val="21"/>
              </w:rPr>
              <w:br w:type="textWrapping"/>
            </w:r>
            <w:r>
              <w:rPr>
                <w:rFonts w:hint="eastAsia" w:ascii="宋体" w:hAnsi="宋体" w:cs="宋体"/>
                <w:color w:val="000000"/>
                <w:kern w:val="0"/>
                <w:szCs w:val="21"/>
              </w:rPr>
              <w:t>纠正</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其他</w:t>
            </w:r>
            <w:r>
              <w:rPr>
                <w:rFonts w:hint="eastAsia" w:ascii="宋体" w:hAnsi="宋体" w:cs="宋体"/>
                <w:color w:val="000000"/>
                <w:kern w:val="0"/>
                <w:szCs w:val="21"/>
              </w:rPr>
              <w:br w:type="textWrapping"/>
            </w:r>
            <w:r>
              <w:rPr>
                <w:rFonts w:hint="eastAsia" w:ascii="宋体" w:hAnsi="宋体" w:cs="宋体"/>
                <w:color w:val="000000"/>
                <w:kern w:val="0"/>
                <w:szCs w:val="21"/>
              </w:rPr>
              <w:t>结果</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尚未</w:t>
            </w:r>
            <w:r>
              <w:rPr>
                <w:rFonts w:hint="eastAsia" w:ascii="宋体" w:hAnsi="宋体" w:cs="宋体"/>
                <w:color w:val="000000"/>
                <w:kern w:val="0"/>
                <w:szCs w:val="21"/>
              </w:rPr>
              <w:br w:type="textWrapping"/>
            </w:r>
            <w:r>
              <w:rPr>
                <w:rFonts w:hint="eastAsia" w:ascii="宋体" w:hAnsi="宋体" w:cs="宋体"/>
                <w:color w:val="000000"/>
                <w:kern w:val="0"/>
                <w:szCs w:val="21"/>
              </w:rPr>
              <w:t>审结</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复议后起诉</w:t>
            </w:r>
          </w:p>
        </w:tc>
      </w:tr>
      <w:tr>
        <w:tblPrEx>
          <w:tblLayout w:type="fixed"/>
          <w:tblCellMar>
            <w:top w:w="0" w:type="dxa"/>
            <w:left w:w="0" w:type="dxa"/>
            <w:bottom w:w="0" w:type="dxa"/>
            <w:right w:w="0" w:type="dxa"/>
          </w:tblCellMar>
        </w:tblPrEx>
        <w:trPr>
          <w:jc w:val="center"/>
        </w:trPr>
        <w:tc>
          <w:tcPr>
            <w:tcW w:w="6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6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6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6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6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结果</w:t>
            </w:r>
            <w:r>
              <w:rPr>
                <w:rFonts w:hint="eastAsia" w:ascii="宋体" w:hAnsi="宋体" w:cs="宋体"/>
                <w:color w:val="000000"/>
                <w:kern w:val="0"/>
                <w:szCs w:val="21"/>
              </w:rPr>
              <w:br w:type="textWrapping"/>
            </w:r>
            <w:r>
              <w:rPr>
                <w:rFonts w:hint="eastAsia" w:ascii="宋体" w:hAnsi="宋体" w:cs="宋体"/>
                <w:color w:val="000000"/>
                <w:kern w:val="0"/>
                <w:szCs w:val="21"/>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结果</w:t>
            </w:r>
            <w:r>
              <w:rPr>
                <w:rFonts w:hint="eastAsia" w:ascii="宋体" w:hAnsi="宋体" w:cs="宋体"/>
                <w:color w:val="000000"/>
                <w:kern w:val="0"/>
                <w:szCs w:val="21"/>
              </w:rPr>
              <w:br w:type="textWrapping"/>
            </w:r>
            <w:r>
              <w:rPr>
                <w:rFonts w:hint="eastAsia" w:ascii="宋体" w:hAnsi="宋体" w:cs="宋体"/>
                <w:color w:val="000000"/>
                <w:kern w:val="0"/>
                <w:szCs w:val="21"/>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其他</w:t>
            </w:r>
            <w:r>
              <w:rPr>
                <w:rFonts w:hint="eastAsia" w:ascii="宋体" w:hAnsi="宋体" w:cs="宋体"/>
                <w:color w:val="000000"/>
                <w:kern w:val="0"/>
                <w:szCs w:val="21"/>
              </w:rPr>
              <w:br w:type="textWrapping"/>
            </w:r>
            <w:r>
              <w:rPr>
                <w:rFonts w:hint="eastAsia" w:ascii="宋体" w:hAnsi="宋体" w:cs="宋体"/>
                <w:color w:val="000000"/>
                <w:kern w:val="0"/>
                <w:szCs w:val="21"/>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尚未</w:t>
            </w:r>
            <w:r>
              <w:rPr>
                <w:rFonts w:hint="eastAsia" w:ascii="宋体" w:hAnsi="宋体" w:cs="宋体"/>
                <w:color w:val="000000"/>
                <w:kern w:val="0"/>
                <w:szCs w:val="21"/>
              </w:rPr>
              <w:br w:type="textWrapping"/>
            </w:r>
            <w:r>
              <w:rPr>
                <w:rFonts w:hint="eastAsia" w:ascii="宋体" w:hAnsi="宋体" w:cs="宋体"/>
                <w:color w:val="000000"/>
                <w:kern w:val="0"/>
                <w:szCs w:val="21"/>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总计</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结果</w:t>
            </w:r>
            <w:r>
              <w:rPr>
                <w:rFonts w:hint="eastAsia" w:ascii="宋体" w:hAnsi="宋体" w:cs="宋体"/>
                <w:color w:val="000000"/>
                <w:kern w:val="0"/>
                <w:szCs w:val="21"/>
              </w:rPr>
              <w:br w:type="textWrapping"/>
            </w:r>
            <w:r>
              <w:rPr>
                <w:rFonts w:hint="eastAsia" w:ascii="宋体" w:hAnsi="宋体" w:cs="宋体"/>
                <w:color w:val="000000"/>
                <w:kern w:val="0"/>
                <w:szCs w:val="21"/>
              </w:rPr>
              <w:t>维持</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结果</w:t>
            </w:r>
            <w:r>
              <w:rPr>
                <w:rFonts w:hint="eastAsia" w:ascii="宋体" w:hAnsi="宋体" w:cs="宋体"/>
                <w:color w:val="000000"/>
                <w:kern w:val="0"/>
                <w:szCs w:val="21"/>
              </w:rPr>
              <w:br w:type="textWrapping"/>
            </w:r>
            <w:r>
              <w:rPr>
                <w:rFonts w:hint="eastAsia" w:ascii="宋体" w:hAnsi="宋体" w:cs="宋体"/>
                <w:color w:val="000000"/>
                <w:kern w:val="0"/>
                <w:szCs w:val="21"/>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其他</w:t>
            </w:r>
            <w:r>
              <w:rPr>
                <w:rFonts w:hint="eastAsia" w:ascii="宋体" w:hAnsi="宋体" w:cs="宋体"/>
                <w:color w:val="000000"/>
                <w:kern w:val="0"/>
                <w:szCs w:val="21"/>
              </w:rPr>
              <w:br w:type="textWrapping"/>
            </w:r>
            <w:r>
              <w:rPr>
                <w:rFonts w:hint="eastAsia" w:ascii="宋体" w:hAnsi="宋体" w:cs="宋体"/>
                <w:color w:val="000000"/>
                <w:kern w:val="0"/>
                <w:szCs w:val="21"/>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尚未</w:t>
            </w:r>
            <w:r>
              <w:rPr>
                <w:rFonts w:hint="eastAsia" w:ascii="宋体" w:hAnsi="宋体" w:cs="宋体"/>
                <w:color w:val="000000"/>
                <w:kern w:val="0"/>
                <w:szCs w:val="21"/>
              </w:rPr>
              <w:br w:type="textWrapping"/>
            </w:r>
            <w:r>
              <w:rPr>
                <w:rFonts w:hint="eastAsia" w:ascii="宋体" w:hAnsi="宋体" w:cs="宋体"/>
                <w:color w:val="000000"/>
                <w:kern w:val="0"/>
                <w:szCs w:val="21"/>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总计</w:t>
            </w:r>
          </w:p>
        </w:tc>
      </w:tr>
      <w:tr>
        <w:tblPrEx>
          <w:tblLayout w:type="fixed"/>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color w:val="000000"/>
                <w:kern w:val="0"/>
                <w:szCs w:val="21"/>
              </w:rPr>
              <w:t> </w:t>
            </w:r>
            <w:r>
              <w:rPr>
                <w:rFonts w:hint="eastAsia"/>
                <w:color w:val="000000"/>
                <w:kern w:val="0"/>
                <w:szCs w:val="21"/>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color w:val="000000"/>
                <w:kern w:val="0"/>
                <w:szCs w:val="21"/>
              </w:rPr>
              <w:t>0</w:t>
            </w:r>
            <w:r>
              <w:rPr>
                <w:color w:val="000000"/>
                <w:kern w:val="0"/>
                <w:szCs w:val="21"/>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color w:val="000000"/>
                <w:kern w:val="0"/>
                <w:szCs w:val="21"/>
              </w:rPr>
              <w:t> </w:t>
            </w:r>
            <w:r>
              <w:rPr>
                <w:rFonts w:hint="eastAsia"/>
                <w:color w:val="000000"/>
                <w:kern w:val="0"/>
                <w:szCs w:val="21"/>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color w:val="000000"/>
                <w:kern w:val="0"/>
                <w:szCs w:val="21"/>
              </w:rPr>
              <w:t> </w:t>
            </w:r>
            <w:r>
              <w:rPr>
                <w:rFonts w:hint="eastAsia"/>
                <w:color w:val="000000"/>
                <w:kern w:val="0"/>
                <w:szCs w:val="21"/>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color w:val="000000"/>
                <w:kern w:val="0"/>
                <w:szCs w:val="21"/>
              </w:rPr>
              <w:t> </w:t>
            </w:r>
            <w:r>
              <w:rPr>
                <w:rFonts w:hint="eastAsia"/>
                <w:color w:val="000000"/>
                <w:kern w:val="0"/>
                <w:szCs w:val="21"/>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color w:val="000000"/>
                <w:kern w:val="0"/>
                <w:szCs w:val="21"/>
              </w:rPr>
              <w:t> </w:t>
            </w:r>
            <w:r>
              <w:rPr>
                <w:rFonts w:hint="eastAsia"/>
                <w:color w:val="000000"/>
                <w:kern w:val="0"/>
                <w:szCs w:val="21"/>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color w:val="000000"/>
                <w:kern w:val="0"/>
                <w:szCs w:val="21"/>
              </w:rPr>
              <w:t> </w:t>
            </w:r>
            <w:r>
              <w:rPr>
                <w:rFonts w:hint="eastAsia"/>
                <w:color w:val="000000"/>
                <w:kern w:val="0"/>
                <w:szCs w:val="21"/>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color w:val="000000"/>
                <w:kern w:val="0"/>
                <w:szCs w:val="21"/>
              </w:rPr>
              <w:t> </w:t>
            </w:r>
            <w:r>
              <w:rPr>
                <w:rFonts w:hint="eastAsia"/>
                <w:color w:val="000000"/>
                <w:kern w:val="0"/>
                <w:szCs w:val="21"/>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color w:val="000000"/>
                <w:kern w:val="0"/>
                <w:szCs w:val="21"/>
              </w:rPr>
              <w:t>0</w:t>
            </w:r>
            <w:r>
              <w:rPr>
                <w:color w:val="000000"/>
                <w:kern w:val="0"/>
                <w:szCs w:val="21"/>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color w:val="000000"/>
                <w:kern w:val="0"/>
                <w:szCs w:val="21"/>
              </w:rPr>
              <w:t> </w:t>
            </w:r>
            <w:r>
              <w:rPr>
                <w:rFonts w:hint="eastAsia"/>
                <w:color w:val="000000"/>
                <w:kern w:val="0"/>
                <w:szCs w:val="21"/>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color w:val="000000"/>
                <w:kern w:val="0"/>
                <w:szCs w:val="21"/>
              </w:rPr>
              <w:t>0</w:t>
            </w:r>
            <w:r>
              <w:rPr>
                <w:color w:val="000000"/>
                <w:kern w:val="0"/>
                <w:szCs w:val="21"/>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color w:val="000000"/>
                <w:kern w:val="0"/>
                <w:szCs w:val="21"/>
              </w:rPr>
              <w:t> </w:t>
            </w:r>
            <w:r>
              <w:rPr>
                <w:rFonts w:hint="eastAsia"/>
                <w:color w:val="000000"/>
                <w:kern w:val="0"/>
                <w:szCs w:val="21"/>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color w:val="000000"/>
                <w:kern w:val="0"/>
                <w:szCs w:val="21"/>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color w:val="000000"/>
                <w:kern w:val="0"/>
                <w:szCs w:val="21"/>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000000"/>
                <w:kern w:val="0"/>
                <w:szCs w:val="21"/>
              </w:rPr>
            </w:pPr>
            <w:r>
              <w:rPr>
                <w:rFonts w:hint="eastAsia"/>
                <w:color w:val="000000"/>
                <w:kern w:val="0"/>
                <w:szCs w:val="21"/>
              </w:rPr>
              <w:t>0</w:t>
            </w:r>
          </w:p>
        </w:tc>
      </w:tr>
    </w:tbl>
    <w:p>
      <w:pPr>
        <w:widowControl/>
        <w:jc w:val="left"/>
        <w:rPr>
          <w:rFonts w:ascii="宋体" w:hAnsi="宋体" w:cs="宋体"/>
          <w:color w:val="000000"/>
          <w:kern w:val="0"/>
          <w:sz w:val="24"/>
        </w:rPr>
      </w:pPr>
    </w:p>
    <w:p>
      <w:pPr>
        <w:widowControl/>
        <w:shd w:val="clear" w:color="auto" w:fill="FFFFFF"/>
        <w:ind w:firstLine="480"/>
        <w:rPr>
          <w:rFonts w:eastAsia="黑体"/>
          <w:color w:val="000000"/>
          <w:kern w:val="0"/>
          <w:sz w:val="32"/>
          <w:szCs w:val="32"/>
        </w:rPr>
      </w:pPr>
      <w:r>
        <w:rPr>
          <w:rFonts w:eastAsia="黑体"/>
          <w:color w:val="000000"/>
          <w:kern w:val="0"/>
          <w:sz w:val="32"/>
          <w:szCs w:val="32"/>
        </w:rPr>
        <w:t>五、存在的主要问题及改进情况</w:t>
      </w:r>
    </w:p>
    <w:p>
      <w:pPr>
        <w:widowControl/>
        <w:shd w:val="clear" w:color="auto" w:fill="FFFFFF"/>
        <w:ind w:firstLine="480"/>
        <w:rPr>
          <w:rFonts w:eastAsia="仿宋_GB2312"/>
          <w:color w:val="000000"/>
          <w:kern w:val="0"/>
          <w:sz w:val="32"/>
          <w:szCs w:val="32"/>
        </w:rPr>
      </w:pPr>
      <w:r>
        <w:rPr>
          <w:rFonts w:hint="eastAsia" w:eastAsia="仿宋_GB2312"/>
          <w:color w:val="000000"/>
          <w:kern w:val="0"/>
          <w:sz w:val="32"/>
          <w:szCs w:val="32"/>
        </w:rPr>
        <w:t>2021</w:t>
      </w:r>
      <w:r>
        <w:rPr>
          <w:rFonts w:hint="eastAsia" w:eastAsia="仿宋_GB2312"/>
          <w:color w:val="000000"/>
          <w:kern w:val="0"/>
          <w:sz w:val="32"/>
          <w:szCs w:val="32"/>
        </w:rPr>
        <w:t>年，自贸区管委会办公室较好的完成了全年政府公开信息，但还存在问题和不足。一是对《条例》学习理解不够透彻，经办人员业务水平有待提高，理论指导实践工作有待加强；二是政策解读质量有待提升，虽然能同步发布解读文件，但解读以文字为主，形式较为单一。</w:t>
      </w:r>
    </w:p>
    <w:p>
      <w:pPr>
        <w:widowControl/>
        <w:shd w:val="clear" w:color="auto" w:fill="FFFFFF"/>
        <w:ind w:firstLine="480"/>
        <w:rPr>
          <w:rFonts w:eastAsia="仿宋_GB2312"/>
          <w:color w:val="000000"/>
          <w:kern w:val="0"/>
          <w:sz w:val="32"/>
          <w:szCs w:val="32"/>
        </w:rPr>
      </w:pPr>
      <w:r>
        <w:rPr>
          <w:rFonts w:hint="eastAsia" w:eastAsia="仿宋_GB2312"/>
          <w:color w:val="000000"/>
          <w:kern w:val="0"/>
          <w:sz w:val="32"/>
          <w:szCs w:val="32"/>
        </w:rPr>
        <w:t>下一步，自贸区管委会办公室将进一步认真学习研究《条例》相关内容，注重理论指导实践；丰富政策解读形式，多利用图表，视频方式对政策进行解读。按照区委、区政府部署要求，充分利用网站政务公开专栏、新媒体平台等互联网渠道，及时发布信息，保证公开信息的及时、准确和全面。</w:t>
      </w:r>
    </w:p>
    <w:p>
      <w:pPr>
        <w:widowControl/>
        <w:shd w:val="clear" w:color="auto" w:fill="FFFFFF"/>
        <w:ind w:firstLine="480"/>
        <w:rPr>
          <w:rFonts w:eastAsia="黑体"/>
          <w:color w:val="000000"/>
          <w:kern w:val="0"/>
          <w:sz w:val="32"/>
          <w:szCs w:val="32"/>
        </w:rPr>
      </w:pPr>
      <w:r>
        <w:rPr>
          <w:rFonts w:eastAsia="黑体"/>
          <w:color w:val="000000"/>
          <w:kern w:val="0"/>
          <w:sz w:val="32"/>
          <w:szCs w:val="32"/>
        </w:rPr>
        <w:t>六、其他需要报告的事项</w:t>
      </w:r>
    </w:p>
    <w:p>
      <w:pPr>
        <w:widowControl/>
        <w:shd w:val="clear" w:color="auto" w:fill="FFFFFF"/>
        <w:ind w:firstLine="480"/>
        <w:rPr>
          <w:rFonts w:ascii="仿宋_GB2312" w:eastAsia="仿宋_GB2312"/>
          <w:sz w:val="32"/>
          <w:szCs w:val="32"/>
        </w:rPr>
      </w:pPr>
      <w:r>
        <w:rPr>
          <w:rFonts w:hint="eastAsia" w:ascii="仿宋_GB2312" w:hAnsi="宋体" w:eastAsia="仿宋_GB2312" w:cs="宋体"/>
          <w:kern w:val="0"/>
          <w:sz w:val="32"/>
          <w:szCs w:val="32"/>
        </w:rPr>
        <w:t>无</w:t>
      </w:r>
      <w:r>
        <w:rPr>
          <w:rFonts w:hint="eastAsia" w:ascii="仿宋_GB2312" w:eastAsia="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qFormat/>
    <w:uiPriority w:val="0"/>
    <w:rPr>
      <w:color w:val="0000FF"/>
      <w:u w:val="single"/>
    </w:rPr>
  </w:style>
  <w:style w:type="character" w:customStyle="1" w:styleId="9">
    <w:name w:val="批注框文本 字符"/>
    <w:basedOn w:val="5"/>
    <w:link w:val="2"/>
    <w:semiHidden/>
    <w:qFormat/>
    <w:uiPriority w:val="99"/>
    <w:rPr>
      <w:rFonts w:ascii="Times New Roman" w:hAnsi="Times New Roman" w:eastAsia="宋体" w:cs="Times New Roman"/>
      <w:sz w:val="18"/>
      <w:szCs w:val="18"/>
    </w:rPr>
  </w:style>
  <w:style w:type="character" w:customStyle="1" w:styleId="10">
    <w:name w:val="页眉 字符"/>
    <w:basedOn w:val="5"/>
    <w:link w:val="4"/>
    <w:qFormat/>
    <w:uiPriority w:val="99"/>
    <w:rPr>
      <w:rFonts w:ascii="Times New Roman" w:hAnsi="Times New Roman" w:eastAsia="宋体" w:cs="Times New Roman"/>
      <w:sz w:val="18"/>
      <w:szCs w:val="18"/>
    </w:rPr>
  </w:style>
  <w:style w:type="character" w:customStyle="1" w:styleId="11">
    <w:name w:val="页脚 字符"/>
    <w:basedOn w:val="5"/>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Pages>
  <Words>352</Words>
  <Characters>2013</Characters>
  <Lines>16</Lines>
  <Paragraphs>4</Paragraphs>
  <TotalTime>0</TotalTime>
  <ScaleCrop>false</ScaleCrop>
  <LinksUpToDate>false</LinksUpToDate>
  <CharactersWithSpaces>2361</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2021-01-13T09:12:00Z</dcterms:created>
  <dc:creator>Windows User</dc:creator>
  <cp:lastModifiedBy>丛琳的iPhone</cp:lastModifiedBy>
  <cp:lastPrinted>2022-01-20T14:37:00Z</cp:lastPrinted>
  <dcterms:modified xsi:type="dcterms:W3CDTF">2022-01-20T15:17:14Z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2052-11.18.0</vt:lpwstr>
  </property>
  <property fmtid="{D5CDD505-2E9C-101B-9397-08002B2CF9AE}" pid="3" name="ICV">
    <vt:lpwstr>E6F1274EEC0B9A335D0BE961ED3D2671</vt:lpwstr>
  </property>
</Properties>
</file>